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893" w:rsidRDefault="00764893" w:rsidP="00EC4CCF">
      <w:pPr>
        <w:pStyle w:val="NoSpacing"/>
        <w:spacing w:line="480" w:lineRule="auto"/>
        <w:ind w:firstLine="720"/>
      </w:pPr>
    </w:p>
    <w:p w:rsidR="00764893" w:rsidRDefault="00764893" w:rsidP="00EC4CCF">
      <w:pPr>
        <w:pStyle w:val="NoSpacing"/>
        <w:spacing w:line="480" w:lineRule="auto"/>
        <w:ind w:firstLine="720"/>
      </w:pPr>
    </w:p>
    <w:p w:rsidR="00764893" w:rsidRDefault="00764893" w:rsidP="00EC4CCF">
      <w:pPr>
        <w:pStyle w:val="NoSpacing"/>
        <w:spacing w:line="480" w:lineRule="auto"/>
        <w:ind w:firstLine="720"/>
      </w:pPr>
    </w:p>
    <w:p w:rsidR="00764893" w:rsidRDefault="00764893" w:rsidP="00764893"/>
    <w:p w:rsidR="00764893" w:rsidRDefault="00764893" w:rsidP="00764893"/>
    <w:p w:rsidR="00764893" w:rsidRDefault="00764893" w:rsidP="00764893"/>
    <w:p w:rsidR="00764893" w:rsidRDefault="00764893" w:rsidP="00764893">
      <w:pPr>
        <w:pStyle w:val="NoSpacing"/>
        <w:jc w:val="center"/>
        <w:rPr>
          <w:i/>
        </w:rPr>
      </w:pPr>
      <w:r>
        <w:rPr>
          <w:i/>
        </w:rPr>
        <w:t>Witt</w:t>
      </w:r>
      <w:r w:rsidR="00E56570">
        <w:rPr>
          <w:i/>
        </w:rPr>
        <w:t>genstein and Idealism</w:t>
      </w:r>
    </w:p>
    <w:p w:rsidR="00764893" w:rsidRDefault="00764893" w:rsidP="00EC4CCF">
      <w:pPr>
        <w:pStyle w:val="NoSpacing"/>
        <w:spacing w:line="480" w:lineRule="auto"/>
        <w:ind w:firstLine="720"/>
      </w:pPr>
    </w:p>
    <w:p w:rsidR="00CF0748" w:rsidRDefault="00CF0748" w:rsidP="00CF0748">
      <w:pPr>
        <w:jc w:val="both"/>
        <w:rPr>
          <w:i/>
        </w:rPr>
      </w:pPr>
      <w:r>
        <w:rPr>
          <w:u w:val="single"/>
        </w:rPr>
        <w:t>Abstract</w:t>
      </w:r>
      <w:r>
        <w:t xml:space="preserve">:  I argue, on both textual and philosophical grounds, that, contra GEM </w:t>
      </w:r>
      <w:proofErr w:type="spellStart"/>
      <w:r>
        <w:t>Anscombe</w:t>
      </w:r>
      <w:proofErr w:type="spellEnd"/>
      <w:r>
        <w:t xml:space="preserve"> and David </w:t>
      </w:r>
      <w:proofErr w:type="gramStart"/>
      <w:r>
        <w:t>Bloor,</w:t>
      </w:r>
      <w:proofErr w:type="gramEnd"/>
      <w:r>
        <w:t xml:space="preserve"> </w:t>
      </w:r>
      <w:r w:rsidR="00803FE9">
        <w:t xml:space="preserve">it is misleading to characterize the Wittgenstein of the </w:t>
      </w:r>
      <w:r w:rsidR="00803FE9" w:rsidRPr="00E56570">
        <w:rPr>
          <w:u w:val="single"/>
        </w:rPr>
        <w:t>Philosophical Investigations</w:t>
      </w:r>
      <w:r w:rsidR="00803FE9">
        <w:t xml:space="preserve"> as a linguistic idealist.  First, such an interpretation conflicts with Wittgenstein’s therapeutic method; second, the textual evidence adduced in favor of this reading is ambiguous at best, and finally, it misses the fact that Wittgenstein rejects the underlying assumption, common to both realism and idealism, that language and reality can be clearly distinguished.  </w:t>
      </w:r>
      <w:r>
        <w:t xml:space="preserve"> </w:t>
      </w:r>
    </w:p>
    <w:p w:rsidR="00CF0748" w:rsidRDefault="00CF0748" w:rsidP="00CF0748">
      <w:pPr>
        <w:jc w:val="both"/>
      </w:pPr>
    </w:p>
    <w:p w:rsidR="00764893" w:rsidRDefault="00764893" w:rsidP="00EC4CCF">
      <w:pPr>
        <w:pStyle w:val="NoSpacing"/>
        <w:spacing w:line="480" w:lineRule="auto"/>
        <w:ind w:firstLine="720"/>
      </w:pPr>
    </w:p>
    <w:p w:rsidR="00764893" w:rsidRDefault="00764893" w:rsidP="00EC4CCF">
      <w:pPr>
        <w:pStyle w:val="NoSpacing"/>
        <w:spacing w:line="480" w:lineRule="auto"/>
        <w:ind w:firstLine="720"/>
      </w:pPr>
    </w:p>
    <w:p w:rsidR="00E8550F" w:rsidRDefault="005D7AC6" w:rsidP="00764893">
      <w:pPr>
        <w:pStyle w:val="NoSpacing"/>
        <w:spacing w:line="480" w:lineRule="auto"/>
        <w:ind w:firstLine="720"/>
      </w:pPr>
      <w:r>
        <w:t xml:space="preserve">Was Wittgenstein an idealist?  Some commentators, most notably GEM </w:t>
      </w:r>
      <w:proofErr w:type="spellStart"/>
      <w:r>
        <w:t>Anscombe</w:t>
      </w:r>
      <w:proofErr w:type="spellEnd"/>
      <w:r>
        <w:t xml:space="preserve"> and, following her, David Bloor, argue the he was.  </w:t>
      </w:r>
      <w:r w:rsidR="008719A3">
        <w:t>They attribute to him a view they call ‘linguistic idealism’, which says, briefly, that some things are created by, and dependent for their existence on,</w:t>
      </w:r>
      <w:r w:rsidR="00EC4CCF">
        <w:t xml:space="preserve"> human linguistic practices.  </w:t>
      </w:r>
    </w:p>
    <w:p w:rsidR="005D7AC6" w:rsidRDefault="000A4D7B" w:rsidP="00EC4CCF">
      <w:pPr>
        <w:pStyle w:val="NoSpacing"/>
        <w:spacing w:line="480" w:lineRule="auto"/>
        <w:ind w:firstLine="720"/>
      </w:pPr>
      <w:r>
        <w:t xml:space="preserve">One problem with claiming that Wittgenstein was an idealist is that </w:t>
      </w:r>
      <w:r w:rsidR="005D7AC6">
        <w:t xml:space="preserve">there is ample evidence from the remarks Wittgenstein makes in the </w:t>
      </w:r>
      <w:r w:rsidR="005D7AC6" w:rsidRPr="005D7AC6">
        <w:rPr>
          <w:u w:val="single"/>
        </w:rPr>
        <w:t>Philosophical Investigations</w:t>
      </w:r>
      <w:r w:rsidR="005D7AC6">
        <w:t xml:space="preserve"> </w:t>
      </w:r>
      <w:r w:rsidR="005D7AC6" w:rsidRPr="005D7AC6">
        <w:t>and</w:t>
      </w:r>
      <w:r w:rsidR="005D7AC6">
        <w:t xml:space="preserve"> elsewhere that he saw philosophy as </w:t>
      </w:r>
      <w:r w:rsidR="00AD552D">
        <w:t xml:space="preserve">essentially a matter of </w:t>
      </w:r>
      <w:r w:rsidR="005D7AC6">
        <w:t xml:space="preserve">showing that philosophical problems, and therefore the theories advanced to solve them, are based on ‘a false picture’ of how things are, or how they must be.  Once this false picture is exposed, both the </w:t>
      </w:r>
      <w:proofErr w:type="gramStart"/>
      <w:r w:rsidR="005D7AC6">
        <w:t>problem, and the proposed solutions, are</w:t>
      </w:r>
      <w:proofErr w:type="gramEnd"/>
      <w:r w:rsidR="005D7AC6">
        <w:t xml:space="preserve"> dismissed.  Thus, he tells us that philosophy consists in ‘showing the fly the way </w:t>
      </w:r>
      <w:r w:rsidR="005D7AC6">
        <w:lastRenderedPageBreak/>
        <w:t xml:space="preserve">out of the fly-bottle’, and that philosophy should be understood as something akin to psychological therapy.  </w:t>
      </w:r>
      <w:r w:rsidR="00AD552D">
        <w:t xml:space="preserve">By showing the philosopher that certain basic, unexamined, </w:t>
      </w:r>
      <w:r w:rsidR="00AD552D" w:rsidRPr="00AD552D">
        <w:rPr>
          <w:i/>
        </w:rPr>
        <w:t>a priori</w:t>
      </w:r>
      <w:r w:rsidR="00AD552D">
        <w:t>, questionable assumptions generate philosophical problems, and showin</w:t>
      </w:r>
      <w:r w:rsidR="008719A3">
        <w:t>g that these assumptions are not forced upon us, p</w:t>
      </w:r>
      <w:r w:rsidR="00AD552D">
        <w:t>hilosophy, perhaps paradoxically, allows us to stop p</w:t>
      </w:r>
      <w:r w:rsidR="008719A3">
        <w:t xml:space="preserve">hilosophizing when we want to. </w:t>
      </w:r>
    </w:p>
    <w:p w:rsidR="00E8550F" w:rsidRDefault="006B279A" w:rsidP="00EC4CCF">
      <w:pPr>
        <w:pStyle w:val="NoSpacing"/>
        <w:spacing w:line="480" w:lineRule="auto"/>
        <w:ind w:firstLine="720"/>
      </w:pPr>
      <w:r>
        <w:t>It would be surprising</w:t>
      </w:r>
      <w:r w:rsidR="00E8550F">
        <w:t xml:space="preserve"> </w:t>
      </w:r>
      <w:r>
        <w:t>if, having claimed a therapeutic method for philosophy in the way j</w:t>
      </w:r>
      <w:r w:rsidR="00EC4CCF">
        <w:t>ust described, Wittgenstein were</w:t>
      </w:r>
      <w:r>
        <w:t xml:space="preserve"> to go on to take sides in the debate over realism and idealism.  </w:t>
      </w:r>
      <w:r w:rsidR="007F18C0">
        <w:t xml:space="preserve">What is more likely </w:t>
      </w:r>
      <w:r w:rsidR="000A4D7B">
        <w:t xml:space="preserve">is that both the idealist and the realist stand in need of philosophical therapy, and that neither view is ultimately satisfactory because the debate itself is the product of a misleading picture of the relationship between language and the world.  </w:t>
      </w:r>
    </w:p>
    <w:p w:rsidR="00194C2D" w:rsidRDefault="00194C2D" w:rsidP="00EC4CCF">
      <w:pPr>
        <w:pStyle w:val="NoSpacing"/>
        <w:spacing w:line="480" w:lineRule="auto"/>
        <w:ind w:firstLine="720"/>
      </w:pPr>
      <w:r>
        <w:t>Bloor defines linguistic idealism as follows:</w:t>
      </w:r>
    </w:p>
    <w:p w:rsidR="00194C2D" w:rsidRDefault="00194C2D" w:rsidP="00EC4CCF">
      <w:pPr>
        <w:pStyle w:val="NoSpacing"/>
      </w:pPr>
      <w:proofErr w:type="gramStart"/>
      <w:r>
        <w:t>…the claim that some truths or realities are created by our linguistic practices.</w:t>
      </w:r>
      <w:proofErr w:type="gramEnd"/>
      <w:r>
        <w:t xml:space="preserve">  The contrast is with cases where language transmits or reflects an independent reality.  </w:t>
      </w:r>
      <w:r>
        <w:rPr>
          <w:rStyle w:val="FootnoteReference"/>
        </w:rPr>
        <w:footnoteReference w:id="1"/>
      </w:r>
    </w:p>
    <w:p w:rsidR="00194C2D" w:rsidRDefault="00194C2D" w:rsidP="00E8550F">
      <w:pPr>
        <w:pStyle w:val="NoSpacing"/>
        <w:spacing w:line="480" w:lineRule="auto"/>
      </w:pPr>
    </w:p>
    <w:p w:rsidR="00B7433C" w:rsidRDefault="008433A3" w:rsidP="00EC4CCF">
      <w:pPr>
        <w:pStyle w:val="NoSpacing"/>
        <w:spacing w:line="480" w:lineRule="auto"/>
      </w:pPr>
      <w:r>
        <w:t xml:space="preserve">So the distinction between realism and idealism is the distinction between the view that language reflects or mirrors or maps an independent existing reality, whereas idealism is the view that reality is at least in part a creation of language.  </w:t>
      </w:r>
      <w:r w:rsidR="00E8550F">
        <w:t xml:space="preserve">According to </w:t>
      </w:r>
      <w:r w:rsidR="00A93406">
        <w:t xml:space="preserve">Bloor, </w:t>
      </w:r>
      <w:r w:rsidR="00C90622">
        <w:t xml:space="preserve">Wittgenstein was a </w:t>
      </w:r>
      <w:r w:rsidR="004826EB" w:rsidRPr="004826EB">
        <w:rPr>
          <w:u w:val="single"/>
        </w:rPr>
        <w:t>full</w:t>
      </w:r>
      <w:r w:rsidR="004826EB">
        <w:t xml:space="preserve"> </w:t>
      </w:r>
      <w:r w:rsidR="00C90622" w:rsidRPr="004826EB">
        <w:t>linguistic</w:t>
      </w:r>
      <w:r w:rsidR="00C90622">
        <w:t xml:space="preserve"> idealist with regard to some things, and a </w:t>
      </w:r>
      <w:r w:rsidR="00C90622" w:rsidRPr="004826EB">
        <w:rPr>
          <w:u w:val="single"/>
        </w:rPr>
        <w:t>partial</w:t>
      </w:r>
      <w:r w:rsidR="00C90622">
        <w:t xml:space="preserve"> linguistic idealist with r</w:t>
      </w:r>
      <w:r w:rsidR="001C774C">
        <w:t xml:space="preserve">egard to others.  </w:t>
      </w:r>
      <w:r w:rsidR="00B7433C">
        <w:t xml:space="preserve">To be a partial </w:t>
      </w:r>
      <w:r w:rsidR="006467E4">
        <w:t>linguistic id</w:t>
      </w:r>
      <w:r w:rsidR="00C04939">
        <w:t>ealist with regard to some concept</w:t>
      </w:r>
      <w:r w:rsidR="006467E4">
        <w:t xml:space="preserve"> is to think that the objects that fall under the concept exist independently of human thought or belief</w:t>
      </w:r>
      <w:r w:rsidR="00375A84">
        <w:t xml:space="preserve">, </w:t>
      </w:r>
      <w:r w:rsidR="00C04939">
        <w:t xml:space="preserve">even </w:t>
      </w:r>
      <w:r w:rsidR="00375A84">
        <w:t xml:space="preserve">though the </w:t>
      </w:r>
      <w:r w:rsidR="00395716">
        <w:t xml:space="preserve">linguistic practice or </w:t>
      </w:r>
      <w:r w:rsidR="00375A84">
        <w:t>concept is a human construct that cannot be ‘read off’ the reality.</w:t>
      </w:r>
      <w:r w:rsidR="006467E4">
        <w:t xml:space="preserve">  For instance, horses </w:t>
      </w:r>
      <w:r w:rsidR="00E742B4">
        <w:t xml:space="preserve">(to use </w:t>
      </w:r>
      <w:proofErr w:type="spellStart"/>
      <w:r w:rsidR="00E742B4">
        <w:t>Anscombe’s</w:t>
      </w:r>
      <w:proofErr w:type="spellEnd"/>
      <w:r w:rsidR="00E742B4">
        <w:t xml:space="preserve"> example) </w:t>
      </w:r>
      <w:r w:rsidR="006467E4">
        <w:t>would still exist even if human beings failed to recognize or interact with them at all</w:t>
      </w:r>
      <w:r w:rsidR="00E742B4">
        <w:t xml:space="preserve">.  But </w:t>
      </w:r>
      <w:r w:rsidR="00375A84">
        <w:t xml:space="preserve">the </w:t>
      </w:r>
      <w:r w:rsidR="00375A84" w:rsidRPr="00E742B4">
        <w:rPr>
          <w:u w:val="single"/>
        </w:rPr>
        <w:t>concept</w:t>
      </w:r>
      <w:r w:rsidR="00375A84">
        <w:t xml:space="preserve"> horse is all the ways in which horses are </w:t>
      </w:r>
      <w:r w:rsidR="00375A84">
        <w:lastRenderedPageBreak/>
        <w:t>incorporated into human social practi</w:t>
      </w:r>
      <w:r w:rsidR="00C04939">
        <w:t>ces, for instance, in the institutions of racing and sport, of farming, and as pets</w:t>
      </w:r>
      <w:r w:rsidR="00375A84">
        <w:t xml:space="preserve">.  </w:t>
      </w:r>
      <w:r w:rsidR="00B7433C">
        <w:t xml:space="preserve">So while the </w:t>
      </w:r>
      <w:r w:rsidR="00B7433C" w:rsidRPr="00395716">
        <w:t>concept</w:t>
      </w:r>
      <w:r w:rsidR="00C04939">
        <w:t xml:space="preserve"> of horse is humanly created and constituted by all the ways in which humans use horses, </w:t>
      </w:r>
      <w:r w:rsidR="00C04939" w:rsidRPr="00C04939">
        <w:rPr>
          <w:u w:val="single"/>
        </w:rPr>
        <w:t>horses</w:t>
      </w:r>
      <w:r w:rsidR="00C04939">
        <w:t xml:space="preserve"> </w:t>
      </w:r>
      <w:r w:rsidR="00FF6D03">
        <w:t xml:space="preserve">are not.  </w:t>
      </w:r>
      <w:r w:rsidR="00395716">
        <w:t>W</w:t>
      </w:r>
      <w:r w:rsidR="00FF6D03">
        <w:t>ith rega</w:t>
      </w:r>
      <w:r w:rsidR="00463A74">
        <w:t xml:space="preserve">rd to natural objects, </w:t>
      </w:r>
      <w:r w:rsidR="00E742B4">
        <w:t xml:space="preserve">Wittgenstein’s </w:t>
      </w:r>
      <w:r w:rsidR="00BE5007">
        <w:t xml:space="preserve">supposed </w:t>
      </w:r>
      <w:r w:rsidR="00C04939">
        <w:t xml:space="preserve">idealism is only partial, because although the concept in some sense creates the </w:t>
      </w:r>
      <w:r w:rsidR="00C04939" w:rsidRPr="002D4527">
        <w:rPr>
          <w:u w:val="single"/>
        </w:rPr>
        <w:t>kinds</w:t>
      </w:r>
      <w:r w:rsidR="00C04939">
        <w:t xml:space="preserve"> of horses there can be (for instance work horses or race horses or even horses-as-artworks</w:t>
      </w:r>
      <w:r w:rsidR="00C04939">
        <w:rPr>
          <w:rStyle w:val="EndnoteReference"/>
        </w:rPr>
        <w:endnoteReference w:id="1"/>
      </w:r>
      <w:r w:rsidR="00C04939">
        <w:t xml:space="preserve">), </w:t>
      </w:r>
      <w:r w:rsidR="00C04939" w:rsidRPr="002D4527">
        <w:rPr>
          <w:u w:val="single"/>
        </w:rPr>
        <w:t>horses</w:t>
      </w:r>
      <w:r w:rsidR="00C04939">
        <w:t xml:space="preserve"> exist even if the concept of horse does not.</w:t>
      </w:r>
    </w:p>
    <w:p w:rsidR="00150988" w:rsidRDefault="00B7433C" w:rsidP="00EC4CCF">
      <w:pPr>
        <w:pStyle w:val="NoSpacing"/>
        <w:spacing w:line="480" w:lineRule="auto"/>
        <w:ind w:firstLine="720"/>
      </w:pPr>
      <w:r>
        <w:t>To be a full linguistic idealist with regard to some thing is to think that the objects that fall under the conc</w:t>
      </w:r>
      <w:r w:rsidR="00FB69E7">
        <w:t>ept would fail to exist independently of human convention</w:t>
      </w:r>
      <w:r>
        <w:t xml:space="preserve">.  </w:t>
      </w:r>
      <w:r w:rsidR="00FF6D03">
        <w:t xml:space="preserve">Laws, languages, economies, political systems, games, and all human institutions and their objects exist only within and as a product of human agreement.  </w:t>
      </w:r>
      <w:r w:rsidR="00F5730F">
        <w:t xml:space="preserve">For example, without the convention of making, keeping, and enforcing promises and contracts, there would be no such thing as promises or contracts.  Promises and contracts are not, as horses are, the sort of things that are simply waiting for humans to come along and incorporate them into their activities and institutions.  </w:t>
      </w:r>
      <w:r w:rsidR="00B572B1">
        <w:t>Thus, with regard to at least some thi</w:t>
      </w:r>
      <w:r w:rsidR="000E60C4">
        <w:t>ngs such as promises</w:t>
      </w:r>
      <w:r w:rsidR="00B572B1">
        <w:t xml:space="preserve">, </w:t>
      </w:r>
      <w:r w:rsidR="00FF6D03">
        <w:t xml:space="preserve">Wittgenstein’s supposed idealism is full.    </w:t>
      </w:r>
      <w:r>
        <w:t xml:space="preserve"> </w:t>
      </w:r>
    </w:p>
    <w:p w:rsidR="00386DBC" w:rsidRDefault="00C83D42" w:rsidP="00EC4CCF">
      <w:pPr>
        <w:pStyle w:val="NoSpacing"/>
        <w:spacing w:line="480" w:lineRule="auto"/>
        <w:ind w:firstLine="720"/>
      </w:pPr>
      <w:r>
        <w:t>Bloor characterizes Wittgenstein’s insight as follows</w:t>
      </w:r>
      <w:r w:rsidR="00386DBC">
        <w:t>:</w:t>
      </w:r>
    </w:p>
    <w:p w:rsidR="00386DBC" w:rsidRDefault="00386DBC" w:rsidP="00EC4CCF">
      <w:pPr>
        <w:pStyle w:val="NoSpacing"/>
      </w:pPr>
      <w:r>
        <w:t xml:space="preserve">Of the various shortcomings in what he [Wittgenstein] called the “object and designation model”, the most dramatic is its inability to deal with the case where the “object” has no existence at all outside the talk about it and the reference to it.  It breaks down entirely where our talk is about other talk, and the linguistic practice has a wholly self-referring character.  This is where the label “idealism” has its most plausible and revealing application.  </w:t>
      </w:r>
    </w:p>
    <w:p w:rsidR="00386DBC" w:rsidRDefault="00386DBC" w:rsidP="00EC4CCF">
      <w:pPr>
        <w:pStyle w:val="NoSpacing"/>
      </w:pPr>
    </w:p>
    <w:p w:rsidR="00386DBC" w:rsidRDefault="00C83D42" w:rsidP="00EC4CCF">
      <w:pPr>
        <w:pStyle w:val="NoSpacing"/>
        <w:spacing w:line="480" w:lineRule="auto"/>
      </w:pPr>
      <w:r>
        <w:t xml:space="preserve">Thus, for Bloor, Wittgenstein’s realization that there are cases in which language creates a reality that did not previously exist undermines the object and designation model of language that he previously held.  It does so because that model treats language, to put it crudely, as a kind of picture or map of the already existing world.  If some bits of the world are created by our language, as in the case of promises or runs batted in, this shows that the object and designation </w:t>
      </w:r>
      <w:r>
        <w:lastRenderedPageBreak/>
        <w:t xml:space="preserve">model of language is to be rejected.  On this view, Wittgenstein’s idealism is part of his rejection of his early picture theory of language.  </w:t>
      </w:r>
    </w:p>
    <w:p w:rsidR="000700A6" w:rsidRDefault="00E8550F" w:rsidP="00EC4CCF">
      <w:pPr>
        <w:pStyle w:val="NoSpacing"/>
        <w:spacing w:line="480" w:lineRule="auto"/>
      </w:pPr>
      <w:r>
        <w:tab/>
      </w:r>
      <w:r w:rsidR="00C83D42">
        <w:t>I</w:t>
      </w:r>
      <w:r w:rsidR="00EC4CCF">
        <w:t>t is fairly clear that Wittgenstein does indeed reject the object-designation model of language.  What is not clear is that this commits him to anyt</w:t>
      </w:r>
      <w:r>
        <w:t xml:space="preserve">hing like linguistic idealism, for that </w:t>
      </w:r>
      <w:r w:rsidR="00EC4CCF">
        <w:t>leaves him still too much in the grip of the idea</w:t>
      </w:r>
      <w:r>
        <w:t xml:space="preserve"> that language and reality can be clearly distinguished such that we can meaningfully ask what the relationship between them is</w:t>
      </w:r>
      <w:r w:rsidR="00EC4CCF">
        <w:t xml:space="preserve">.  </w:t>
      </w:r>
      <w:r w:rsidR="000A139E">
        <w:t xml:space="preserve">It is my interpretation of Wittgenstein that he aims to reject this distinction, and with it the philosophical problem to which idealism and realism are supposed to be solutions.  </w:t>
      </w:r>
    </w:p>
    <w:p w:rsidR="00836914" w:rsidRDefault="000700A6" w:rsidP="00EC4CCF">
      <w:pPr>
        <w:pStyle w:val="NoSpacing"/>
        <w:spacing w:line="480" w:lineRule="auto"/>
        <w:ind w:firstLine="720"/>
      </w:pPr>
      <w:r>
        <w:t xml:space="preserve">What </w:t>
      </w:r>
      <w:r w:rsidR="00611D45">
        <w:t xml:space="preserve">textual support </w:t>
      </w:r>
      <w:r w:rsidR="00611D45" w:rsidRPr="00C83D42">
        <w:rPr>
          <w:u w:val="single"/>
        </w:rPr>
        <w:t>do</w:t>
      </w:r>
      <w:r w:rsidR="00611D45">
        <w:t xml:space="preserve"> </w:t>
      </w:r>
      <w:proofErr w:type="spellStart"/>
      <w:r w:rsidR="00611D45">
        <w:t>Anscombe</w:t>
      </w:r>
      <w:proofErr w:type="spellEnd"/>
      <w:r w:rsidR="00611D45">
        <w:t xml:space="preserve"> and Bloor give for their interpretation of Wittgenstein?  First, there is this passage, which occurs at the end of the </w:t>
      </w:r>
      <w:r w:rsidR="00611D45" w:rsidRPr="00611D45">
        <w:rPr>
          <w:u w:val="single"/>
        </w:rPr>
        <w:t>Investigations</w:t>
      </w:r>
      <w:r w:rsidR="00836914">
        <w:t>:</w:t>
      </w:r>
    </w:p>
    <w:p w:rsidR="00DB6F8C" w:rsidRDefault="00DB6F8C" w:rsidP="00EC4CCF">
      <w:pPr>
        <w:pStyle w:val="NoSpacing"/>
      </w:pPr>
    </w:p>
    <w:p w:rsidR="004826EB" w:rsidRDefault="004826EB" w:rsidP="00EC4CCF">
      <w:pPr>
        <w:pStyle w:val="NoSpacing"/>
      </w:pPr>
      <w:r>
        <w:t xml:space="preserve">If the formation of concepts can be explained by facts of nature, should we not be interested, not in grammar, but rather in that in nature which is the basis of grammar?- Our interest certainly includes the correspondence between concepts and very general facts of nature.  (Such facts as mostly do not strike us because of their generality).  But our interest does not fall back upon these possible causes of the formation of concepts; we are not doing natural science; nor yet natural history – since we can also invent fictitious natural history for our purposes.  </w:t>
      </w:r>
    </w:p>
    <w:p w:rsidR="004826EB" w:rsidRDefault="004826EB" w:rsidP="00EC4CCF">
      <w:pPr>
        <w:pStyle w:val="NoSpacing"/>
      </w:pPr>
    </w:p>
    <w:p w:rsidR="004826EB" w:rsidRDefault="004826EB" w:rsidP="00EC4CCF">
      <w:pPr>
        <w:pStyle w:val="NoSpacing"/>
      </w:pPr>
      <w:r>
        <w:t>I am not saying:  if such and such facts of nature were different people would have different concepts (in the sense of a hypothesis).  But:  if anyone believes that certain concepts are absolutely the correct ones, and that having different ones would mean not realizing something that we realize –then let him imagine certain very general facts of nature to be different from what we are used to, and the formation of concepts different from the usual ones will become intelligible to him</w:t>
      </w:r>
      <w:r w:rsidR="00153E1A">
        <w:t>…</w:t>
      </w:r>
      <w:r>
        <w:t xml:space="preserve"> </w:t>
      </w:r>
    </w:p>
    <w:p w:rsidR="004826EB" w:rsidRDefault="004826EB" w:rsidP="00EC4CCF">
      <w:pPr>
        <w:pStyle w:val="NoSpacing"/>
      </w:pPr>
    </w:p>
    <w:p w:rsidR="004826EB" w:rsidRDefault="00993EF7" w:rsidP="00EC4CCF">
      <w:pPr>
        <w:pStyle w:val="NoSpacing"/>
      </w:pPr>
      <w:r>
        <w:t xml:space="preserve"> (PI x</w:t>
      </w:r>
      <w:r w:rsidR="00BC7959">
        <w:t>iii)</w:t>
      </w:r>
    </w:p>
    <w:p w:rsidR="00A6265A" w:rsidRDefault="00A6265A" w:rsidP="00EC4CCF">
      <w:pPr>
        <w:pStyle w:val="NoSpacing"/>
      </w:pPr>
    </w:p>
    <w:p w:rsidR="00836914" w:rsidRDefault="00836914" w:rsidP="00EC4CCF">
      <w:pPr>
        <w:pStyle w:val="NoSpacing"/>
      </w:pPr>
    </w:p>
    <w:p w:rsidR="00386DBC" w:rsidRDefault="00836914" w:rsidP="00EC4CCF">
      <w:pPr>
        <w:pStyle w:val="NoSpacing"/>
        <w:spacing w:line="480" w:lineRule="auto"/>
      </w:pPr>
      <w:r>
        <w:t xml:space="preserve">Bloor rightly wonders where in the passage </w:t>
      </w:r>
      <w:proofErr w:type="spellStart"/>
      <w:r>
        <w:t>Anscombe</w:t>
      </w:r>
      <w:proofErr w:type="spellEnd"/>
      <w:r>
        <w:t xml:space="preserve"> sees support for linguistic idealism, since</w:t>
      </w:r>
      <w:r w:rsidR="00142D70">
        <w:t xml:space="preserve">, as he rightly suggests, </w:t>
      </w:r>
      <w:r>
        <w:t xml:space="preserve">the </w:t>
      </w:r>
      <w:r w:rsidR="00142D70" w:rsidRPr="009A6A80">
        <w:t>natural</w:t>
      </w:r>
      <w:r w:rsidR="00142D70">
        <w:t xml:space="preserve"> </w:t>
      </w:r>
      <w:r w:rsidRPr="00142D70">
        <w:t>interpretation</w:t>
      </w:r>
      <w:r>
        <w:t xml:space="preserve"> of the pas</w:t>
      </w:r>
      <w:r w:rsidR="00142D70">
        <w:t xml:space="preserve">sage would seem to be </w:t>
      </w:r>
      <w:r w:rsidR="00603E0A">
        <w:t xml:space="preserve">directly </w:t>
      </w:r>
      <w:r w:rsidR="00142D70">
        <w:t xml:space="preserve">at odds with </w:t>
      </w:r>
      <w:r w:rsidR="00A6265A">
        <w:t>the claim that some real</w:t>
      </w:r>
      <w:r w:rsidR="009A6A80">
        <w:t>ities a</w:t>
      </w:r>
      <w:r w:rsidR="00386DBC">
        <w:t xml:space="preserve">re humanly constructed.  </w:t>
      </w:r>
      <w:r w:rsidR="000E60C4">
        <w:t xml:space="preserve">Indeed, the phrase ‘general facts of nature’ would seem to suggest that there are facts independent of language.  </w:t>
      </w:r>
      <w:r w:rsidR="00A37AE5">
        <w:t xml:space="preserve">The point seems to </w:t>
      </w:r>
      <w:r w:rsidR="00A37AE5">
        <w:lastRenderedPageBreak/>
        <w:t xml:space="preserve">be while the idealist is right to remind us that </w:t>
      </w:r>
      <w:r w:rsidR="009A6A80">
        <w:t>that our concepts</w:t>
      </w:r>
      <w:r w:rsidR="00A37AE5">
        <w:t xml:space="preserve"> are not simply ‘read off’ </w:t>
      </w:r>
      <w:r w:rsidR="009A6A80">
        <w:t xml:space="preserve">the general facts of nature, </w:t>
      </w:r>
      <w:r w:rsidR="00A37AE5">
        <w:t xml:space="preserve">they </w:t>
      </w:r>
      <w:r w:rsidR="009A6A80" w:rsidRPr="009A6A80">
        <w:rPr>
          <w:u w:val="single"/>
        </w:rPr>
        <w:t>are</w:t>
      </w:r>
      <w:r w:rsidR="00234223">
        <w:t xml:space="preserve"> neve</w:t>
      </w:r>
      <w:r w:rsidR="00A37AE5">
        <w:t xml:space="preserve">rtheless </w:t>
      </w:r>
      <w:r w:rsidR="00234223">
        <w:t xml:space="preserve">dependent upon </w:t>
      </w:r>
      <w:r w:rsidR="00A37AE5">
        <w:t xml:space="preserve">and constrained by </w:t>
      </w:r>
      <w:r w:rsidR="00386DBC">
        <w:t xml:space="preserve">them, such that, in a different world (one in which different general principles hold), different concepts would become imaginable.  </w:t>
      </w:r>
      <w:r w:rsidR="00095011">
        <w:t xml:space="preserve">No doubt the converse is also true:  were the general facts of nature different, certain concepts we now have would not be imaginable.  </w:t>
      </w:r>
      <w:r w:rsidR="00422722">
        <w:t xml:space="preserve">That sounds realist </w:t>
      </w:r>
      <w:r w:rsidR="00F85BC7">
        <w:t xml:space="preserve">as much as it sounds idealist, insofar as it affirms the underlying realist impulse to remind us that there is a world that </w:t>
      </w:r>
      <w:r w:rsidR="00F85BC7" w:rsidRPr="00F85BC7">
        <w:rPr>
          <w:u w:val="single"/>
        </w:rPr>
        <w:t>is</w:t>
      </w:r>
      <w:r w:rsidR="00F85BC7">
        <w:t>, and that it is within this world, with these constraints, that human life and language has evolved.</w:t>
      </w:r>
    </w:p>
    <w:p w:rsidR="00611D45" w:rsidRDefault="00611D45" w:rsidP="00EC4CCF">
      <w:pPr>
        <w:pStyle w:val="NoSpacing"/>
        <w:spacing w:line="480" w:lineRule="auto"/>
        <w:ind w:firstLine="720"/>
      </w:pPr>
      <w:r>
        <w:t>Bloor appeals to PI 142 in favor of the idealist interpretation:</w:t>
      </w:r>
    </w:p>
    <w:p w:rsidR="00611D45" w:rsidRDefault="00611D45" w:rsidP="00EC4CCF">
      <w:pPr>
        <w:pStyle w:val="NoSpacing"/>
        <w:ind w:firstLine="720"/>
      </w:pPr>
      <w:r>
        <w:t>It is only in normal cases that the use of a word is clearly prescribed; we know</w:t>
      </w:r>
      <w:proofErr w:type="gramStart"/>
      <w:r>
        <w:t>,</w:t>
      </w:r>
      <w:proofErr w:type="gramEnd"/>
      <w:r>
        <w:t xml:space="preserve"> are in no doubt, what to say in this or that case.  The more abnormal the case, the more doubtful it becomes what we are to say.  And if things were quite different from what they actually are – if there were for instance no characteristic expression of pain, of fear, of joy; if rule became exception and exception rule; or if both became phenomena of roughly equal frequency –this would make our normal language games lose their point.  The procedure of putting a lump of cheese on a balance and fixing the price by the turn of the scale would lose its point if it frequently happened that such lumps suddenly grew or shrank for no obvious reason…</w:t>
      </w:r>
    </w:p>
    <w:p w:rsidR="00611D45" w:rsidRDefault="00611D45" w:rsidP="00EC4CCF">
      <w:pPr>
        <w:pStyle w:val="NoSpacing"/>
        <w:spacing w:line="480" w:lineRule="auto"/>
        <w:ind w:firstLine="720"/>
      </w:pPr>
    </w:p>
    <w:p w:rsidR="000E60C4" w:rsidRDefault="00611D45" w:rsidP="00EC4CCF">
      <w:pPr>
        <w:pStyle w:val="NoSpacing"/>
        <w:spacing w:line="480" w:lineRule="auto"/>
      </w:pPr>
      <w:r>
        <w:t xml:space="preserve">Here again, though, Wittgenstein seems to </w:t>
      </w:r>
      <w:r w:rsidR="00B127FB">
        <w:t>want to insist that our concepts are not arbitrary, that they are at least constrained by th</w:t>
      </w:r>
      <w:r>
        <w:t xml:space="preserve">e general facts of nature, so that, </w:t>
      </w:r>
      <w:r w:rsidR="00B127FB">
        <w:t>for instance, if objects such as hunks of cheese were apt to randomly change their size and weight, the practice of selling t</w:t>
      </w:r>
      <w:r w:rsidR="00B571A1">
        <w:t xml:space="preserve">hem by weight would not be possible.  </w:t>
      </w:r>
      <w:r w:rsidR="000E60C4">
        <w:t xml:space="preserve">If anything, this captures the realist’s main insight that the world exists independently of our concepts.  </w:t>
      </w:r>
    </w:p>
    <w:p w:rsidR="00D92D56" w:rsidRDefault="00107A87" w:rsidP="00EC4CCF">
      <w:pPr>
        <w:pStyle w:val="NoSpacing"/>
        <w:spacing w:line="480" w:lineRule="auto"/>
      </w:pPr>
      <w:r>
        <w:tab/>
      </w:r>
      <w:r w:rsidR="00E8550F">
        <w:t xml:space="preserve">Thus the textual evidence for Wittgenstein’s supposed idealism is ambiguous at best.  Furthermore, the distinction between full and partial idealism is questionable.  </w:t>
      </w:r>
      <w:r w:rsidR="00D91C5E">
        <w:t>Even in the case of promising</w:t>
      </w:r>
      <w:r w:rsidR="006D7798">
        <w:t>,</w:t>
      </w:r>
      <w:r w:rsidR="00D91C5E">
        <w:t xml:space="preserve"> the general facts of nature constrain w</w:t>
      </w:r>
      <w:r w:rsidR="00D92D56">
        <w:t>hat is possible.  Consider, for instance, the following passage</w:t>
      </w:r>
      <w:r w:rsidR="00441C72">
        <w:t>s</w:t>
      </w:r>
      <w:r w:rsidR="00D92D56">
        <w:t xml:space="preserve"> from Nietzsche’s </w:t>
      </w:r>
      <w:r w:rsidR="00D92D56" w:rsidRPr="00D92D56">
        <w:rPr>
          <w:u w:val="single"/>
        </w:rPr>
        <w:t>Genealogy of Morals</w:t>
      </w:r>
      <w:r w:rsidR="00D92D56">
        <w:t>:</w:t>
      </w:r>
    </w:p>
    <w:p w:rsidR="0083575A" w:rsidRDefault="00441C72" w:rsidP="00EC4CCF">
      <w:pPr>
        <w:pStyle w:val="NoSpacing"/>
        <w:rPr>
          <w:rFonts w:ascii="Garamond" w:eastAsia="Times New Roman" w:hAnsi="Garamond"/>
          <w:lang w:val="en-GB"/>
        </w:rPr>
      </w:pPr>
      <w:r>
        <w:rPr>
          <w:rFonts w:ascii="Garamond" w:eastAsia="Times New Roman" w:hAnsi="Garamond"/>
          <w:lang w:val="en-GB"/>
        </w:rPr>
        <w:lastRenderedPageBreak/>
        <w:t xml:space="preserve">  </w:t>
      </w:r>
      <w:r w:rsidRPr="00441C72">
        <w:rPr>
          <w:rFonts w:ascii="Garamond" w:eastAsia="Times New Roman" w:hAnsi="Garamond"/>
          <w:lang w:val="en-GB"/>
        </w:rPr>
        <w:t>To breed an animal that </w:t>
      </w:r>
      <w:r w:rsidRPr="00441C72">
        <w:rPr>
          <w:rFonts w:ascii="Garamond" w:eastAsia="Times New Roman" w:hAnsi="Garamond"/>
          <w:i/>
          <w:iCs/>
          <w:lang w:val="en-GB"/>
        </w:rPr>
        <w:t>is entitled to make promises</w:t>
      </w:r>
      <w:r w:rsidRPr="00441C72">
        <w:rPr>
          <w:rFonts w:ascii="Garamond" w:eastAsia="Times New Roman" w:hAnsi="Garamond"/>
          <w:lang w:val="en-GB"/>
        </w:rPr>
        <w:t>—is that not precisely the paradoxical task nature has set itself where human beings are concerned? Isn’t that the real problem </w:t>
      </w:r>
      <w:r w:rsidRPr="00441C72">
        <w:rPr>
          <w:rFonts w:ascii="Garamond" w:eastAsia="Times New Roman" w:hAnsi="Garamond"/>
          <w:i/>
          <w:iCs/>
          <w:lang w:val="en-GB"/>
        </w:rPr>
        <w:t>of</w:t>
      </w:r>
      <w:r w:rsidRPr="00441C72">
        <w:rPr>
          <w:rFonts w:ascii="Garamond" w:eastAsia="Times New Roman" w:hAnsi="Garamond"/>
          <w:lang w:val="en-GB"/>
        </w:rPr>
        <w:t> human beings? . . .</w:t>
      </w:r>
    </w:p>
    <w:p w:rsidR="00441C72" w:rsidRPr="00441C72" w:rsidRDefault="00441C72" w:rsidP="00EC4CCF">
      <w:pPr>
        <w:pStyle w:val="NoSpacing"/>
        <w:rPr>
          <w:rFonts w:eastAsia="Times New Roman"/>
        </w:rPr>
      </w:pPr>
      <w:r>
        <w:rPr>
          <w:rFonts w:ascii="Garamond" w:eastAsia="Times New Roman" w:hAnsi="Garamond"/>
          <w:lang w:val="en-GB"/>
        </w:rPr>
        <w:t xml:space="preserve">... </w:t>
      </w:r>
      <w:r w:rsidRPr="00441C72">
        <w:rPr>
          <w:rFonts w:ascii="Garamond" w:eastAsia="Times New Roman" w:hAnsi="Garamond"/>
          <w:lang w:val="en-GB"/>
        </w:rPr>
        <w:t>In order to organize the future in this manner, human beings must have first learned to separate necessary events from chance events, to think in terms of cause and effect, to see distant events as if they were present, to anticipate them, to set goals and the means to reach them with certainty, to develop a capability for figures and calculations in general—and for that to occur, a human being must </w:t>
      </w:r>
      <w:r w:rsidRPr="00441C72">
        <w:rPr>
          <w:rFonts w:ascii="Garamond" w:eastAsia="Times New Roman" w:hAnsi="Garamond"/>
          <w:i/>
          <w:iCs/>
          <w:lang w:val="en-GB"/>
        </w:rPr>
        <w:t>necessarily</w:t>
      </w:r>
      <w:r w:rsidRPr="00441C72">
        <w:rPr>
          <w:rFonts w:ascii="Garamond" w:eastAsia="Times New Roman" w:hAnsi="Garamond"/>
          <w:lang w:val="en-GB"/>
        </w:rPr>
        <w:t> have first himself become </w:t>
      </w:r>
      <w:r w:rsidRPr="00441C72">
        <w:rPr>
          <w:rFonts w:ascii="Garamond" w:eastAsia="Times New Roman" w:hAnsi="Garamond"/>
          <w:i/>
          <w:iCs/>
          <w:lang w:val="en-GB"/>
        </w:rPr>
        <w:t>something one could predict, something bound by regular rules</w:t>
      </w:r>
      <w:r w:rsidRPr="00441C72">
        <w:rPr>
          <w:rFonts w:ascii="Garamond" w:eastAsia="Times New Roman" w:hAnsi="Garamond"/>
          <w:lang w:val="en-GB"/>
        </w:rPr>
        <w:t>, even in the way he imagined himself to himself, so that finally he is able to act like someone who makes promises—he can make himself into a pledge </w:t>
      </w:r>
      <w:r w:rsidRPr="00441C72">
        <w:rPr>
          <w:rFonts w:ascii="Garamond" w:eastAsia="Times New Roman" w:hAnsi="Garamond"/>
          <w:i/>
          <w:iCs/>
          <w:lang w:val="en-GB"/>
        </w:rPr>
        <w:t>for the future</w:t>
      </w:r>
      <w:r w:rsidRPr="00441C72">
        <w:rPr>
          <w:rFonts w:ascii="Garamond" w:eastAsia="Times New Roman" w:hAnsi="Garamond"/>
          <w:lang w:val="en-GB"/>
        </w:rPr>
        <w:t>!</w:t>
      </w:r>
    </w:p>
    <w:p w:rsidR="00441C72" w:rsidRDefault="00441C72" w:rsidP="00EC4CCF">
      <w:pPr>
        <w:pStyle w:val="NoSpacing"/>
        <w:ind w:firstLine="720"/>
      </w:pPr>
    </w:p>
    <w:p w:rsidR="003939FA" w:rsidRDefault="00153E1A" w:rsidP="00EC4CCF">
      <w:pPr>
        <w:pStyle w:val="NoSpacing"/>
        <w:spacing w:line="480" w:lineRule="auto"/>
      </w:pPr>
      <w:r>
        <w:t xml:space="preserve">As Nietzsche points </w:t>
      </w:r>
      <w:r w:rsidR="00D92D56">
        <w:t xml:space="preserve">out, </w:t>
      </w:r>
      <w:r w:rsidR="00D91C5E">
        <w:t>promising as</w:t>
      </w:r>
      <w:r w:rsidR="008539AF">
        <w:t xml:space="preserve">sumes that human beings </w:t>
      </w:r>
      <w:r>
        <w:t>can distinguish causes from coincidences</w:t>
      </w:r>
      <w:r w:rsidR="0083575A">
        <w:t>, that they can predict</w:t>
      </w:r>
      <w:r w:rsidR="007F18C0">
        <w:t xml:space="preserve"> and plan</w:t>
      </w:r>
      <w:r w:rsidR="00441C72">
        <w:t xml:space="preserve">, that they can calculate, that their behavior can be made predictable, that they fear punishment.  </w:t>
      </w:r>
      <w:r w:rsidR="007906EF">
        <w:t xml:space="preserve">Were these things not so, promising would not be possible.  </w:t>
      </w:r>
      <w:r w:rsidR="0083575A">
        <w:t xml:space="preserve">They are themselves dependent on the </w:t>
      </w:r>
      <w:r w:rsidR="00E8550F">
        <w:t xml:space="preserve">very general </w:t>
      </w:r>
      <w:r w:rsidR="0083575A">
        <w:t xml:space="preserve">fact that humans are </w:t>
      </w:r>
      <w:r w:rsidR="0083575A" w:rsidRPr="0083575A">
        <w:rPr>
          <w:u w:val="single"/>
        </w:rPr>
        <w:t>pliable</w:t>
      </w:r>
      <w:r w:rsidR="0083575A">
        <w:t xml:space="preserve">, and can be </w:t>
      </w:r>
      <w:r w:rsidR="0083575A" w:rsidRPr="0083575A">
        <w:rPr>
          <w:i/>
        </w:rPr>
        <w:t>bred</w:t>
      </w:r>
      <w:r w:rsidR="0083575A">
        <w:t xml:space="preserve"> in certain ways.  </w:t>
      </w:r>
      <w:r w:rsidR="00D91C5E">
        <w:t xml:space="preserve">These are </w:t>
      </w:r>
      <w:r w:rsidR="00441C72">
        <w:t xml:space="preserve">examples of </w:t>
      </w:r>
      <w:r w:rsidR="00C34A3B">
        <w:t>general facts of nature, and they bear the same relationship to our ability to make conventions as horses bear to horse racing</w:t>
      </w:r>
      <w:r w:rsidR="00D91C5E">
        <w:t xml:space="preserve"> or the cavalry</w:t>
      </w:r>
      <w:r w:rsidR="00C34A3B">
        <w:t>.  In both cases, the fact that the world is such-and-such a way make</w:t>
      </w:r>
      <w:r w:rsidR="008539AF">
        <w:t>s</w:t>
      </w:r>
      <w:r w:rsidR="00C34A3B">
        <w:t xml:space="preserve"> it possible for us to have the </w:t>
      </w:r>
      <w:r w:rsidR="00D91C5E">
        <w:t xml:space="preserve">practices and </w:t>
      </w:r>
      <w:r w:rsidR="00C34A3B">
        <w:t xml:space="preserve">concepts we have.  And were these facts to be radically different, if there were no large </w:t>
      </w:r>
      <w:r w:rsidR="00EE268B">
        <w:t>animals that could bear human weight</w:t>
      </w:r>
      <w:r w:rsidR="00C34A3B">
        <w:t>, or if human behavior were flighty and unpredictable</w:t>
      </w:r>
      <w:r w:rsidR="0083575A">
        <w:t xml:space="preserve"> or incapable of being manipulated</w:t>
      </w:r>
      <w:r w:rsidR="00441C72">
        <w:t xml:space="preserve"> </w:t>
      </w:r>
      <w:r w:rsidR="00C34A3B">
        <w:t xml:space="preserve">the corresponding practices would cease to exist.  </w:t>
      </w:r>
      <w:r w:rsidR="00D91C5E">
        <w:t xml:space="preserve">Calvary horses and promises both depend on human convention, though horses and human nature exist independent of such conventions. </w:t>
      </w:r>
      <w:r w:rsidR="00BC12A7">
        <w:t xml:space="preserve">So while there are many different kinds of institutions and practices that can be ‘built up’ around horses and human beings, there are limits, imposed by nature, in what is possible.  </w:t>
      </w:r>
      <w:r w:rsidR="00821AAF">
        <w:t xml:space="preserve">There are no ‘fully idealistic’ human concepts.  </w:t>
      </w:r>
      <w:r w:rsidR="00EE268B">
        <w:t xml:space="preserve">  </w:t>
      </w:r>
    </w:p>
    <w:p w:rsidR="005A2A11" w:rsidRDefault="00FB28C7" w:rsidP="00EC4CCF">
      <w:pPr>
        <w:pStyle w:val="NoSpacing"/>
        <w:spacing w:line="480" w:lineRule="auto"/>
        <w:ind w:firstLine="720"/>
      </w:pPr>
      <w:r>
        <w:t>My conclusi</w:t>
      </w:r>
      <w:r w:rsidR="00967A68">
        <w:t xml:space="preserve">on so far is that </w:t>
      </w:r>
      <w:proofErr w:type="spellStart"/>
      <w:r w:rsidR="00967A68">
        <w:t>Anscombe</w:t>
      </w:r>
      <w:proofErr w:type="spellEnd"/>
      <w:r w:rsidR="00967A68">
        <w:t xml:space="preserve"> and Bloor </w:t>
      </w:r>
      <w:r>
        <w:t>have not made the case that Wittgenstein can profitably be considered an idealist, even in cases like promising.  This is not to say that Wittgenstein is therefor</w:t>
      </w:r>
      <w:r w:rsidR="00153E1A">
        <w:t>e a realist.  T</w:t>
      </w:r>
      <w:r>
        <w:t xml:space="preserve">hings are not so simple:  </w:t>
      </w:r>
      <w:r w:rsidR="00967A68">
        <w:t xml:space="preserve">while </w:t>
      </w:r>
      <w:r>
        <w:t>i</w:t>
      </w:r>
      <w:r w:rsidR="00967A68">
        <w:t xml:space="preserve">t is true that </w:t>
      </w:r>
      <w:r>
        <w:t>human concepts create new rea</w:t>
      </w:r>
      <w:r w:rsidR="00967A68">
        <w:t xml:space="preserve">lities (here is the idealist’s fundamental intuition), their ability to do this, </w:t>
      </w:r>
      <w:r>
        <w:t xml:space="preserve">and what realities are possible, is itself constrained by the very general facts of nature which hold </w:t>
      </w:r>
      <w:r>
        <w:lastRenderedPageBreak/>
        <w:t>independently of our concepts</w:t>
      </w:r>
      <w:r w:rsidR="00967A68">
        <w:t xml:space="preserve"> (here is the realist’s fundamental intuition).  </w:t>
      </w:r>
      <w:r w:rsidR="00E8550F">
        <w:t>And here there are both elements of realism and idealism, but no commitment to either.</w:t>
      </w:r>
      <w:r w:rsidR="00153E1A">
        <w:t xml:space="preserve">  </w:t>
      </w:r>
      <w:r w:rsidR="008B6E2B">
        <w:t>I want to now suggest that Wittgenstein rejects the underlying picture of language upon which both realism and idealism rely.</w:t>
      </w:r>
    </w:p>
    <w:p w:rsidR="005A2A11" w:rsidRDefault="00153E1A" w:rsidP="00EC4CCF">
      <w:pPr>
        <w:spacing w:line="480" w:lineRule="auto"/>
        <w:ind w:firstLine="720"/>
        <w:jc w:val="both"/>
        <w:rPr>
          <w:rFonts w:eastAsia="Times New Roman"/>
          <w:szCs w:val="24"/>
        </w:rPr>
      </w:pPr>
      <w:r>
        <w:rPr>
          <w:rFonts w:ascii="Times New Roman" w:eastAsia="Times New Roman" w:hAnsi="Times New Roman" w:cs="Times New Roman"/>
          <w:sz w:val="24"/>
          <w:szCs w:val="24"/>
        </w:rPr>
        <w:t xml:space="preserve">Recall </w:t>
      </w:r>
      <w:r w:rsidR="001438B4">
        <w:rPr>
          <w:rFonts w:ascii="Times New Roman" w:eastAsia="Times New Roman" w:hAnsi="Times New Roman" w:cs="Times New Roman"/>
          <w:sz w:val="24"/>
          <w:szCs w:val="24"/>
        </w:rPr>
        <w:t xml:space="preserve">Wittgenstein’s famous example of the builders, who appear near the beginning of the </w:t>
      </w:r>
      <w:r w:rsidR="001438B4" w:rsidRPr="001438B4">
        <w:rPr>
          <w:rFonts w:ascii="Times New Roman" w:eastAsia="Times New Roman" w:hAnsi="Times New Roman" w:cs="Times New Roman"/>
          <w:sz w:val="24"/>
          <w:szCs w:val="24"/>
          <w:u w:val="single"/>
        </w:rPr>
        <w:t>Philosophical Investigations</w:t>
      </w:r>
      <w:r w:rsidR="001438B4">
        <w:rPr>
          <w:rFonts w:ascii="Times New Roman" w:eastAsia="Times New Roman" w:hAnsi="Times New Roman" w:cs="Times New Roman"/>
          <w:sz w:val="24"/>
          <w:szCs w:val="24"/>
        </w:rPr>
        <w:t xml:space="preserve">.  </w:t>
      </w:r>
      <w:r w:rsidR="00C76FDA">
        <w:rPr>
          <w:rFonts w:ascii="Times New Roman" w:eastAsia="Times New Roman" w:hAnsi="Times New Roman" w:cs="Times New Roman"/>
          <w:sz w:val="24"/>
          <w:szCs w:val="24"/>
        </w:rPr>
        <w:t xml:space="preserve">Wittgenstein makes it clear that the example of the builders is supposed to help cure us of the idea, (explicit in the allusion to St. Augustine that opens the </w:t>
      </w:r>
      <w:r w:rsidR="00C76FDA" w:rsidRPr="00C76FDA">
        <w:rPr>
          <w:rFonts w:ascii="Times New Roman" w:eastAsia="Times New Roman" w:hAnsi="Times New Roman" w:cs="Times New Roman"/>
          <w:sz w:val="24"/>
          <w:szCs w:val="24"/>
          <w:u w:val="single"/>
        </w:rPr>
        <w:t>Investigations</w:t>
      </w:r>
      <w:r w:rsidR="00C76FDA">
        <w:rPr>
          <w:rFonts w:ascii="Times New Roman" w:eastAsia="Times New Roman" w:hAnsi="Times New Roman" w:cs="Times New Roman"/>
          <w:sz w:val="24"/>
          <w:szCs w:val="24"/>
        </w:rPr>
        <w:t xml:space="preserve">), that words are names for things.  </w:t>
      </w:r>
      <w:r w:rsidR="005A2A11">
        <w:rPr>
          <w:rFonts w:ascii="Times New Roman" w:eastAsia="Times New Roman" w:hAnsi="Times New Roman" w:cs="Times New Roman"/>
          <w:sz w:val="24"/>
          <w:szCs w:val="24"/>
        </w:rPr>
        <w:t>Wittgenstein asks us to imagine two builders (A and his assistant B); A is building with building stones.  The stones consist of blocks, pillars, slabs, and beams.  When A wants a pillar, for instance, A calls out “pillar!</w:t>
      </w:r>
      <w:proofErr w:type="gramStart"/>
      <w:r w:rsidR="005A2A11">
        <w:rPr>
          <w:rFonts w:ascii="Times New Roman" w:eastAsia="Times New Roman" w:hAnsi="Times New Roman" w:cs="Times New Roman"/>
          <w:sz w:val="24"/>
          <w:szCs w:val="24"/>
        </w:rPr>
        <w:t>”;</w:t>
      </w:r>
      <w:proofErr w:type="gramEnd"/>
      <w:r w:rsidR="005A2A11">
        <w:rPr>
          <w:rFonts w:ascii="Times New Roman" w:eastAsia="Times New Roman" w:hAnsi="Times New Roman" w:cs="Times New Roman"/>
          <w:sz w:val="24"/>
          <w:szCs w:val="24"/>
        </w:rPr>
        <w:t xml:space="preserve"> it is B’s job to pass a stone to A when he hears A call for one, etc.  </w:t>
      </w:r>
      <w:r w:rsidR="005A2A11">
        <w:rPr>
          <w:rFonts w:eastAsia="Times New Roman"/>
          <w:szCs w:val="24"/>
        </w:rPr>
        <w:t xml:space="preserve">The example of A and B is an example of what Wittgenstein calls a “language game”.  </w:t>
      </w:r>
    </w:p>
    <w:p w:rsidR="005A2A11" w:rsidRPr="008B6E2B" w:rsidRDefault="00153E1A" w:rsidP="008B6E2B">
      <w:pPr>
        <w:pStyle w:val="NoSpacing"/>
        <w:rPr>
          <w:rFonts w:eastAsia="Times New Roman"/>
          <w:szCs w:val="24"/>
        </w:rPr>
      </w:pPr>
      <w:r w:rsidRPr="008B6E2B">
        <w:rPr>
          <w:rFonts w:eastAsia="Times New Roman"/>
          <w:szCs w:val="24"/>
        </w:rPr>
        <w:t>…</w:t>
      </w:r>
      <w:r w:rsidR="005A2A11" w:rsidRPr="008B6E2B">
        <w:rPr>
          <w:rFonts w:eastAsia="Times New Roman"/>
          <w:szCs w:val="24"/>
        </w:rPr>
        <w:t>I shall also call the whole, consisting of language and the actions into which it is woven, a “language game”.  (PI7)</w:t>
      </w:r>
    </w:p>
    <w:p w:rsidR="005A2A11" w:rsidRDefault="005A2A11" w:rsidP="00EC4CCF">
      <w:pPr>
        <w:spacing w:after="0" w:line="240" w:lineRule="auto"/>
        <w:ind w:firstLine="720"/>
        <w:jc w:val="both"/>
        <w:rPr>
          <w:rFonts w:ascii="Times New Roman" w:eastAsia="Times New Roman" w:hAnsi="Times New Roman" w:cs="Times New Roman"/>
          <w:sz w:val="24"/>
          <w:szCs w:val="24"/>
        </w:rPr>
      </w:pPr>
    </w:p>
    <w:p w:rsidR="008234D1" w:rsidRPr="00C76FDA" w:rsidRDefault="009856B6" w:rsidP="008234D1">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Cs w:val="24"/>
        </w:rPr>
        <w:t xml:space="preserve">The phrase “language and the actions into which it </w:t>
      </w:r>
      <w:proofErr w:type="gramStart"/>
      <w:r>
        <w:rPr>
          <w:rFonts w:ascii="Times New Roman" w:eastAsia="Times New Roman" w:hAnsi="Times New Roman" w:cs="Times New Roman"/>
          <w:szCs w:val="24"/>
        </w:rPr>
        <w:t>is</w:t>
      </w:r>
      <w:proofErr w:type="gramEnd"/>
      <w:r>
        <w:rPr>
          <w:rFonts w:ascii="Times New Roman" w:eastAsia="Times New Roman" w:hAnsi="Times New Roman" w:cs="Times New Roman"/>
          <w:szCs w:val="24"/>
        </w:rPr>
        <w:t xml:space="preserve"> woven” gives us an important clue in uncovering the picture of language that Wittgenstein holds in the </w:t>
      </w:r>
      <w:r w:rsidRPr="009856B6">
        <w:rPr>
          <w:rFonts w:ascii="Times New Roman" w:eastAsia="Times New Roman" w:hAnsi="Times New Roman" w:cs="Times New Roman"/>
          <w:szCs w:val="24"/>
          <w:u w:val="single"/>
        </w:rPr>
        <w:t>Philosophical Investigations</w:t>
      </w:r>
      <w:r>
        <w:rPr>
          <w:rFonts w:ascii="Times New Roman" w:eastAsia="Times New Roman" w:hAnsi="Times New Roman" w:cs="Times New Roman"/>
          <w:szCs w:val="24"/>
        </w:rPr>
        <w:t>.  The brick, the men, the sounds the men utter, their facial and physical gestures, all of these things are woven into a seamless whole that constitutes the language game of building a structure.</w:t>
      </w:r>
      <w:r w:rsidR="008234D1">
        <w:rPr>
          <w:rFonts w:ascii="Times New Roman" w:eastAsia="Times New Roman" w:hAnsi="Times New Roman" w:cs="Times New Roman"/>
          <w:szCs w:val="24"/>
        </w:rPr>
        <w:t xml:space="preserve">  But now, can we say with certainty which parts of this story constitute the linguistic parts and which constitute the world?  </w:t>
      </w:r>
      <w:r w:rsidR="00E8550F">
        <w:rPr>
          <w:rFonts w:ascii="Times New Roman" w:eastAsia="Times New Roman" w:hAnsi="Times New Roman" w:cs="Times New Roman"/>
          <w:sz w:val="24"/>
          <w:szCs w:val="24"/>
        </w:rPr>
        <w:t xml:space="preserve">Later </w:t>
      </w:r>
      <w:r w:rsidR="008234D1">
        <w:rPr>
          <w:rFonts w:ascii="Times New Roman" w:eastAsia="Times New Roman" w:hAnsi="Times New Roman" w:cs="Times New Roman"/>
          <w:sz w:val="24"/>
          <w:szCs w:val="24"/>
        </w:rPr>
        <w:t xml:space="preserve">in the </w:t>
      </w:r>
      <w:r w:rsidR="008234D1" w:rsidRPr="00C76FDA">
        <w:rPr>
          <w:rFonts w:ascii="Times New Roman" w:eastAsia="Times New Roman" w:hAnsi="Times New Roman" w:cs="Times New Roman"/>
          <w:sz w:val="24"/>
          <w:szCs w:val="24"/>
          <w:u w:val="single"/>
        </w:rPr>
        <w:t>Investigations</w:t>
      </w:r>
      <w:r w:rsidR="008234D1">
        <w:rPr>
          <w:rFonts w:ascii="Times New Roman" w:eastAsia="Times New Roman" w:hAnsi="Times New Roman" w:cs="Times New Roman"/>
          <w:sz w:val="24"/>
          <w:szCs w:val="24"/>
        </w:rPr>
        <w:t xml:space="preserve"> </w:t>
      </w:r>
      <w:r w:rsidR="008234D1">
        <w:t xml:space="preserve"> Wittgenstein asks us to imagine a more sophisticated language game, in which (among other things) a set of colored slabs are incorporated into the game, so that B can distinguish slabs according to their color.  Wittgenstein says at P16</w:t>
      </w:r>
    </w:p>
    <w:p w:rsidR="008234D1" w:rsidRPr="008B6E2B" w:rsidRDefault="008234D1" w:rsidP="008234D1">
      <w:pPr>
        <w:pStyle w:val="NoSpacing"/>
      </w:pPr>
      <w:r w:rsidRPr="008B6E2B">
        <w:t xml:space="preserve">What about the </w:t>
      </w:r>
      <w:proofErr w:type="spellStart"/>
      <w:r w:rsidRPr="008B6E2B">
        <w:t>colour</w:t>
      </w:r>
      <w:proofErr w:type="spellEnd"/>
      <w:r w:rsidRPr="008B6E2B">
        <w:t xml:space="preserve"> samples that </w:t>
      </w:r>
      <w:proofErr w:type="gramStart"/>
      <w:r w:rsidRPr="008B6E2B">
        <w:t>A</w:t>
      </w:r>
      <w:proofErr w:type="gramEnd"/>
      <w:r w:rsidRPr="008B6E2B">
        <w:t xml:space="preserve"> </w:t>
      </w:r>
      <w:proofErr w:type="spellStart"/>
      <w:r w:rsidRPr="008B6E2B">
        <w:t>shews</w:t>
      </w:r>
      <w:proofErr w:type="spellEnd"/>
      <w:r w:rsidRPr="008B6E2B">
        <w:t xml:space="preserve"> to B:  are they part of the </w:t>
      </w:r>
      <w:r w:rsidRPr="008B6E2B">
        <w:rPr>
          <w:i/>
        </w:rPr>
        <w:t>language</w:t>
      </w:r>
      <w:r w:rsidRPr="008B6E2B">
        <w:t xml:space="preserve">?  Well, it is as you please.  They do not belong among the words; yet when I say to someone:  “Pronounce the word ‘the’”, you will not count the second “the” as part of the sentence.  Yet it has a role just like </w:t>
      </w:r>
      <w:r w:rsidRPr="008B6E2B">
        <w:lastRenderedPageBreak/>
        <w:t xml:space="preserve">that of a </w:t>
      </w:r>
      <w:proofErr w:type="spellStart"/>
      <w:r w:rsidRPr="008B6E2B">
        <w:t>colour</w:t>
      </w:r>
      <w:proofErr w:type="spellEnd"/>
      <w:r w:rsidRPr="008B6E2B">
        <w:t>-sample in language game (8); that is, it is a sample of what the other is meant to say.</w:t>
      </w:r>
    </w:p>
    <w:p w:rsidR="008234D1" w:rsidRPr="008B6E2B" w:rsidRDefault="008234D1" w:rsidP="008234D1">
      <w:pPr>
        <w:pStyle w:val="NoSpacing"/>
      </w:pPr>
      <w:r w:rsidRPr="008B6E2B">
        <w:tab/>
        <w:t xml:space="preserve">It is most natural, and causes the least confusion, to reckon the samples among the instruments of the language.  </w:t>
      </w:r>
      <w:r w:rsidRPr="008B6E2B">
        <w:rPr>
          <w:rStyle w:val="FootnoteReference"/>
        </w:rPr>
        <w:footnoteReference w:id="2"/>
      </w:r>
    </w:p>
    <w:p w:rsidR="008234D1" w:rsidRDefault="008234D1" w:rsidP="008234D1">
      <w:pPr>
        <w:pStyle w:val="NoSpacing"/>
      </w:pPr>
    </w:p>
    <w:p w:rsidR="008234D1" w:rsidRDefault="008234D1" w:rsidP="008234D1">
      <w:pPr>
        <w:pStyle w:val="NoSpacing"/>
      </w:pPr>
    </w:p>
    <w:p w:rsidR="008234D1" w:rsidRDefault="008234D1" w:rsidP="008234D1">
      <w:pPr>
        <w:pStyle w:val="NoSpacing"/>
        <w:spacing w:line="480" w:lineRule="auto"/>
      </w:pPr>
      <w:r>
        <w:t xml:space="preserve">The word “the” in the sentence to which Wittgenstein refers is the </w:t>
      </w:r>
      <w:r w:rsidRPr="00441C72">
        <w:rPr>
          <w:u w:val="single"/>
        </w:rPr>
        <w:t>object</w:t>
      </w:r>
      <w:r>
        <w:t xml:space="preserve"> of the sentence, a sound-token.  If we had to choose whether to characterize it as part of ‘language’ or part of the ‘world’, it is not clear what we should do.  On the one hand, insofar as it is a word, it generally counts as part of the language; on the other, insofar as it is the subject of the statement, and not a word in the sentence, it counts as part of the world.  Similarly, the color samples are, on the one hand, simply bits of colored cardboard, and, as such, would seem to most comfortably fit in the ‘world’ category. And yet, they function as symbols for their respective kinds, which </w:t>
      </w:r>
      <w:proofErr w:type="gramStart"/>
      <w:r>
        <w:t>seems</w:t>
      </w:r>
      <w:proofErr w:type="gramEnd"/>
      <w:r>
        <w:t xml:space="preserve"> to put them in the ‘language’ category.  There seems to be no clear criterion for deciding, in either case, what the correct classification would be.  </w:t>
      </w:r>
    </w:p>
    <w:p w:rsidR="00153E1A" w:rsidRDefault="00153E1A" w:rsidP="00153E1A">
      <w:pPr>
        <w:pStyle w:val="NoSpacing"/>
        <w:spacing w:line="480" w:lineRule="auto"/>
        <w:ind w:firstLine="720"/>
      </w:pPr>
      <w:r>
        <w:t xml:space="preserve">Artistic examples help illustrate the point.  Ernest </w:t>
      </w:r>
      <w:proofErr w:type="spellStart"/>
      <w:r>
        <w:t>Gombrich’s</w:t>
      </w:r>
      <w:proofErr w:type="spellEnd"/>
      <w:r>
        <w:t xml:space="preserve"> “Truth and </w:t>
      </w:r>
      <w:proofErr w:type="spellStart"/>
      <w:r>
        <w:t>Sterotype</w:t>
      </w:r>
      <w:proofErr w:type="spellEnd"/>
      <w:r>
        <w:t>” provides us with a good example, this time in the context of a discussion of Plato’s distinction between the carpenter, on the one hand, who makes a bed, and the artist who, on the other, merely imitates it:</w:t>
      </w:r>
    </w:p>
    <w:p w:rsidR="00153E1A" w:rsidRDefault="00153E1A" w:rsidP="00153E1A">
      <w:pPr>
        <w:pStyle w:val="NoSpacing"/>
      </w:pPr>
      <w:r>
        <w:t xml:space="preserve">Must it always be true that the sculptor’s couch is a representation?  If we mean by this term that it must refer to something else, that it is a sign, then this will surely depend on the context.  Put a real couch into a shop window and you thereby turn it into a sign.  It is true that once this is its only function, you may choose a couch which is not good for anything else.  You may also make a cardboard dummy.  In other words, there is a smooth and even transition, dependent of function, between what Plato called “reality” and what he called “appearance”.  </w:t>
      </w:r>
    </w:p>
    <w:p w:rsidR="00153E1A" w:rsidRDefault="00153E1A" w:rsidP="00153E1A">
      <w:pPr>
        <w:pStyle w:val="NoSpacing"/>
      </w:pPr>
    </w:p>
    <w:p w:rsidR="00153E1A" w:rsidRDefault="00153E1A" w:rsidP="00153E1A">
      <w:pPr>
        <w:pStyle w:val="NoSpacing"/>
        <w:spacing w:line="480" w:lineRule="auto"/>
      </w:pPr>
      <w:r>
        <w:t xml:space="preserve">The point of these examples is that the border between language and reality is a porous one.   Bits of what we would normally characterize as part of the extra-linguistic world easily become linguistic symbol.  Linguistic symbols can be the subject of discourse, and thereby part of the </w:t>
      </w:r>
      <w:r>
        <w:lastRenderedPageBreak/>
        <w:t xml:space="preserve">world the discourse is presumably about.  Is the bed in the window part of the world, or part of our language?  Again, it is as you please; there are grounds for claiming both.  </w:t>
      </w:r>
    </w:p>
    <w:p w:rsidR="00153E1A" w:rsidRDefault="00153E1A" w:rsidP="00153E1A">
      <w:pPr>
        <w:pStyle w:val="NoSpacing"/>
        <w:spacing w:line="480" w:lineRule="auto"/>
        <w:ind w:firstLine="720"/>
      </w:pPr>
      <w:r>
        <w:t xml:space="preserve">These examples remind us that, at any given time, we cannot neatly and clearly draw the line between what is, and what is not, part of language as opposed to part of reality since, as </w:t>
      </w:r>
      <w:proofErr w:type="spellStart"/>
      <w:r>
        <w:t>Gombrich</w:t>
      </w:r>
      <w:proofErr w:type="spellEnd"/>
      <w:r>
        <w:t xml:space="preserve"> points out, that depends on the context.  We may think that this line can or must be neatly drawn if we think of the relationship between language and reality as either a relationship of the one mirroring the other or the one creating the other.  But once we see that this distinction cannot be neatly maintained, the idea that the world on the one hand and language on the other are two things such that they can have a relationship, be it mirroring, or creating</w:t>
      </w:r>
      <w:r w:rsidR="00871222">
        <w:t>, is called into question.</w:t>
      </w:r>
      <w:r>
        <w:t xml:space="preserve"> </w:t>
      </w:r>
    </w:p>
    <w:p w:rsidR="009856B6" w:rsidRDefault="009856B6" w:rsidP="009856B6">
      <w:pPr>
        <w:pStyle w:val="NoSpacing"/>
        <w:spacing w:line="480" w:lineRule="auto"/>
        <w:rPr>
          <w:rFonts w:ascii="Times New Roman" w:eastAsia="Times New Roman" w:hAnsi="Times New Roman" w:cs="Times New Roman"/>
          <w:szCs w:val="24"/>
        </w:rPr>
      </w:pPr>
    </w:p>
    <w:p w:rsidR="004752CD" w:rsidRDefault="004752CD" w:rsidP="009856B6">
      <w:pPr>
        <w:pStyle w:val="NoSpacing"/>
        <w:ind w:firstLine="720"/>
      </w:pPr>
      <w:r>
        <w:t xml:space="preserve"> </w:t>
      </w:r>
    </w:p>
    <w:sectPr w:rsidR="004752CD" w:rsidSect="00C87362">
      <w:footerReference w:type="default" r:id="rId7"/>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0FE" w:rsidRDefault="002950FE" w:rsidP="00A6265A">
      <w:pPr>
        <w:spacing w:line="240" w:lineRule="auto"/>
      </w:pPr>
      <w:r>
        <w:separator/>
      </w:r>
    </w:p>
  </w:endnote>
  <w:endnote w:type="continuationSeparator" w:id="0">
    <w:p w:rsidR="002950FE" w:rsidRDefault="002950FE" w:rsidP="00A6265A">
      <w:pPr>
        <w:spacing w:line="240" w:lineRule="auto"/>
      </w:pPr>
      <w:r>
        <w:continuationSeparator/>
      </w:r>
    </w:p>
  </w:endnote>
  <w:endnote w:id="1">
    <w:p w:rsidR="00E8550F" w:rsidRPr="00441C72" w:rsidRDefault="00E8550F" w:rsidP="00441C72">
      <w:pPr>
        <w:pStyle w:val="EndnoteText"/>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7539"/>
      <w:docPartObj>
        <w:docPartGallery w:val="Page Numbers (Bottom of Page)"/>
        <w:docPartUnique/>
      </w:docPartObj>
    </w:sdtPr>
    <w:sdtContent>
      <w:p w:rsidR="00E8550F" w:rsidRDefault="00A22DCC">
        <w:pPr>
          <w:pStyle w:val="Footer"/>
          <w:jc w:val="center"/>
        </w:pPr>
        <w:fldSimple w:instr=" PAGE   \* MERGEFORMAT ">
          <w:r w:rsidR="00C938C1">
            <w:rPr>
              <w:noProof/>
            </w:rPr>
            <w:t>1</w:t>
          </w:r>
        </w:fldSimple>
      </w:p>
    </w:sdtContent>
  </w:sdt>
  <w:p w:rsidR="00E8550F" w:rsidRDefault="00E855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0FE" w:rsidRDefault="002950FE" w:rsidP="00A6265A">
      <w:pPr>
        <w:spacing w:line="240" w:lineRule="auto"/>
      </w:pPr>
      <w:r>
        <w:separator/>
      </w:r>
    </w:p>
  </w:footnote>
  <w:footnote w:type="continuationSeparator" w:id="0">
    <w:p w:rsidR="002950FE" w:rsidRDefault="002950FE" w:rsidP="00A6265A">
      <w:pPr>
        <w:spacing w:line="240" w:lineRule="auto"/>
      </w:pPr>
      <w:r>
        <w:continuationSeparator/>
      </w:r>
    </w:p>
  </w:footnote>
  <w:footnote w:id="1">
    <w:p w:rsidR="00E8550F" w:rsidRDefault="00E8550F">
      <w:pPr>
        <w:pStyle w:val="FootnoteText"/>
      </w:pPr>
      <w:r>
        <w:rPr>
          <w:rStyle w:val="FootnoteReference"/>
        </w:rPr>
        <w:footnoteRef/>
      </w:r>
      <w:r>
        <w:t xml:space="preserve"> David Bloor, “The question of linguistic idealism revisited”, in </w:t>
      </w:r>
      <w:proofErr w:type="spellStart"/>
      <w:r>
        <w:t>Sluga</w:t>
      </w:r>
      <w:proofErr w:type="gramStart"/>
      <w:r>
        <w:t>,Stern</w:t>
      </w:r>
      <w:proofErr w:type="spellEnd"/>
      <w:proofErr w:type="gramEnd"/>
      <w:r>
        <w:t xml:space="preserve"> (</w:t>
      </w:r>
      <w:proofErr w:type="spellStart"/>
      <w:r>
        <w:t>eds</w:t>
      </w:r>
      <w:proofErr w:type="spellEnd"/>
      <w:r>
        <w:t xml:space="preserve">) </w:t>
      </w:r>
      <w:r w:rsidRPr="00194C2D">
        <w:rPr>
          <w:u w:val="single"/>
        </w:rPr>
        <w:t>The Cambridge Companion to Wittgenstein</w:t>
      </w:r>
      <w:r>
        <w:t xml:space="preserve"> 354-382.  </w:t>
      </w:r>
    </w:p>
  </w:footnote>
  <w:footnote w:id="2">
    <w:p w:rsidR="00E8550F" w:rsidRDefault="00E8550F" w:rsidP="008234D1">
      <w:pPr>
        <w:pStyle w:val="FootnoteText"/>
      </w:pPr>
      <w:r>
        <w:rPr>
          <w:rStyle w:val="FootnoteReference"/>
        </w:rPr>
        <w:footnoteRef/>
      </w:r>
      <w:r>
        <w:t xml:space="preserve"> Ludwig Wittgenstein, PI 16 7e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characterSpacingControl w:val="doNotCompress"/>
  <w:footnotePr>
    <w:footnote w:id="-1"/>
    <w:footnote w:id="0"/>
  </w:footnotePr>
  <w:endnotePr>
    <w:numFmt w:val="decimal"/>
    <w:endnote w:id="-1"/>
    <w:endnote w:id="0"/>
  </w:endnotePr>
  <w:compat/>
  <w:rsids>
    <w:rsidRoot w:val="00C4541A"/>
    <w:rsid w:val="000013E9"/>
    <w:rsid w:val="0002205A"/>
    <w:rsid w:val="00033FA8"/>
    <w:rsid w:val="00043574"/>
    <w:rsid w:val="00061B77"/>
    <w:rsid w:val="00066C69"/>
    <w:rsid w:val="000700A6"/>
    <w:rsid w:val="00080892"/>
    <w:rsid w:val="00095011"/>
    <w:rsid w:val="000A139E"/>
    <w:rsid w:val="000A3649"/>
    <w:rsid w:val="000A4D7B"/>
    <w:rsid w:val="000C57A1"/>
    <w:rsid w:val="000E361A"/>
    <w:rsid w:val="000E3A75"/>
    <w:rsid w:val="000E4360"/>
    <w:rsid w:val="000E60C4"/>
    <w:rsid w:val="00107A87"/>
    <w:rsid w:val="00112596"/>
    <w:rsid w:val="00116CFA"/>
    <w:rsid w:val="0013462C"/>
    <w:rsid w:val="00142D70"/>
    <w:rsid w:val="001438B4"/>
    <w:rsid w:val="00150988"/>
    <w:rsid w:val="00153E1A"/>
    <w:rsid w:val="00185134"/>
    <w:rsid w:val="00190132"/>
    <w:rsid w:val="00194C2D"/>
    <w:rsid w:val="001B0AE5"/>
    <w:rsid w:val="001B335E"/>
    <w:rsid w:val="001B65FA"/>
    <w:rsid w:val="001C774C"/>
    <w:rsid w:val="001C7A34"/>
    <w:rsid w:val="001D026C"/>
    <w:rsid w:val="001D2785"/>
    <w:rsid w:val="001F7AD4"/>
    <w:rsid w:val="002146BD"/>
    <w:rsid w:val="00217894"/>
    <w:rsid w:val="0022054F"/>
    <w:rsid w:val="00226C28"/>
    <w:rsid w:val="0023172F"/>
    <w:rsid w:val="00234223"/>
    <w:rsid w:val="0025436A"/>
    <w:rsid w:val="002749F4"/>
    <w:rsid w:val="002832EC"/>
    <w:rsid w:val="00283B33"/>
    <w:rsid w:val="00294E99"/>
    <w:rsid w:val="002950FE"/>
    <w:rsid w:val="002B3D92"/>
    <w:rsid w:val="002C2393"/>
    <w:rsid w:val="002C3E3E"/>
    <w:rsid w:val="002C75F3"/>
    <w:rsid w:val="002D2C62"/>
    <w:rsid w:val="002D4527"/>
    <w:rsid w:val="0030288A"/>
    <w:rsid w:val="003105AB"/>
    <w:rsid w:val="00314D12"/>
    <w:rsid w:val="00326A62"/>
    <w:rsid w:val="00370753"/>
    <w:rsid w:val="0037436A"/>
    <w:rsid w:val="00375A84"/>
    <w:rsid w:val="00376F5C"/>
    <w:rsid w:val="00386DBC"/>
    <w:rsid w:val="003939FA"/>
    <w:rsid w:val="00395716"/>
    <w:rsid w:val="003A0846"/>
    <w:rsid w:val="003A16D1"/>
    <w:rsid w:val="003A5A6B"/>
    <w:rsid w:val="003C378F"/>
    <w:rsid w:val="003C7380"/>
    <w:rsid w:val="003E6ABA"/>
    <w:rsid w:val="003F5428"/>
    <w:rsid w:val="003F7D0B"/>
    <w:rsid w:val="00422722"/>
    <w:rsid w:val="00430740"/>
    <w:rsid w:val="00441C72"/>
    <w:rsid w:val="00452D4F"/>
    <w:rsid w:val="00463A74"/>
    <w:rsid w:val="0046426A"/>
    <w:rsid w:val="004752CD"/>
    <w:rsid w:val="004826EB"/>
    <w:rsid w:val="00496FB4"/>
    <w:rsid w:val="004A17ED"/>
    <w:rsid w:val="004A51CD"/>
    <w:rsid w:val="004B5077"/>
    <w:rsid w:val="004B5E65"/>
    <w:rsid w:val="004B7A3C"/>
    <w:rsid w:val="004C4F98"/>
    <w:rsid w:val="004D5898"/>
    <w:rsid w:val="00506977"/>
    <w:rsid w:val="00523090"/>
    <w:rsid w:val="00553235"/>
    <w:rsid w:val="00555869"/>
    <w:rsid w:val="00582E34"/>
    <w:rsid w:val="005A2A11"/>
    <w:rsid w:val="005A37FA"/>
    <w:rsid w:val="005B62AA"/>
    <w:rsid w:val="005D09AA"/>
    <w:rsid w:val="005D42F8"/>
    <w:rsid w:val="005D7AC6"/>
    <w:rsid w:val="00603E0A"/>
    <w:rsid w:val="00605171"/>
    <w:rsid w:val="00607D59"/>
    <w:rsid w:val="00611D45"/>
    <w:rsid w:val="00642E12"/>
    <w:rsid w:val="006467E4"/>
    <w:rsid w:val="00650A52"/>
    <w:rsid w:val="00660673"/>
    <w:rsid w:val="00685854"/>
    <w:rsid w:val="006A115B"/>
    <w:rsid w:val="006B279A"/>
    <w:rsid w:val="006B506E"/>
    <w:rsid w:val="006D0631"/>
    <w:rsid w:val="006D57F0"/>
    <w:rsid w:val="006D7798"/>
    <w:rsid w:val="007028DC"/>
    <w:rsid w:val="007530B4"/>
    <w:rsid w:val="00764893"/>
    <w:rsid w:val="00785A46"/>
    <w:rsid w:val="00790001"/>
    <w:rsid w:val="00790626"/>
    <w:rsid w:val="007906EF"/>
    <w:rsid w:val="00797A52"/>
    <w:rsid w:val="007A1556"/>
    <w:rsid w:val="007A4FA6"/>
    <w:rsid w:val="007B1263"/>
    <w:rsid w:val="007B160F"/>
    <w:rsid w:val="007C2FF5"/>
    <w:rsid w:val="007C490B"/>
    <w:rsid w:val="007C6737"/>
    <w:rsid w:val="007D35A7"/>
    <w:rsid w:val="007D50A5"/>
    <w:rsid w:val="007E2F81"/>
    <w:rsid w:val="007F02AF"/>
    <w:rsid w:val="007F1460"/>
    <w:rsid w:val="007F18C0"/>
    <w:rsid w:val="008007E0"/>
    <w:rsid w:val="00803FE9"/>
    <w:rsid w:val="00811F22"/>
    <w:rsid w:val="00821AAF"/>
    <w:rsid w:val="00823430"/>
    <w:rsid w:val="008234D1"/>
    <w:rsid w:val="00826B24"/>
    <w:rsid w:val="008321C8"/>
    <w:rsid w:val="0083575A"/>
    <w:rsid w:val="00836914"/>
    <w:rsid w:val="008433A3"/>
    <w:rsid w:val="008539AF"/>
    <w:rsid w:val="00871222"/>
    <w:rsid w:val="008719A3"/>
    <w:rsid w:val="008739D6"/>
    <w:rsid w:val="008A7F06"/>
    <w:rsid w:val="008B6E2B"/>
    <w:rsid w:val="008C6D2F"/>
    <w:rsid w:val="008D54AC"/>
    <w:rsid w:val="008D6929"/>
    <w:rsid w:val="008E223B"/>
    <w:rsid w:val="008E7069"/>
    <w:rsid w:val="008F2F49"/>
    <w:rsid w:val="00904170"/>
    <w:rsid w:val="009110C7"/>
    <w:rsid w:val="00916284"/>
    <w:rsid w:val="00941FAB"/>
    <w:rsid w:val="00951A8C"/>
    <w:rsid w:val="009626B1"/>
    <w:rsid w:val="00967A68"/>
    <w:rsid w:val="009856B6"/>
    <w:rsid w:val="00993EF7"/>
    <w:rsid w:val="00994944"/>
    <w:rsid w:val="009A4645"/>
    <w:rsid w:val="009A6A80"/>
    <w:rsid w:val="009C6C55"/>
    <w:rsid w:val="009D73AC"/>
    <w:rsid w:val="009D7A42"/>
    <w:rsid w:val="009E4849"/>
    <w:rsid w:val="009E5E61"/>
    <w:rsid w:val="009F3207"/>
    <w:rsid w:val="009F6B31"/>
    <w:rsid w:val="00A13015"/>
    <w:rsid w:val="00A13FAB"/>
    <w:rsid w:val="00A22DCC"/>
    <w:rsid w:val="00A37AE5"/>
    <w:rsid w:val="00A412A2"/>
    <w:rsid w:val="00A51C51"/>
    <w:rsid w:val="00A6265A"/>
    <w:rsid w:val="00A73C73"/>
    <w:rsid w:val="00A93406"/>
    <w:rsid w:val="00AB4BE3"/>
    <w:rsid w:val="00AB5F43"/>
    <w:rsid w:val="00AC5EEE"/>
    <w:rsid w:val="00AD40AD"/>
    <w:rsid w:val="00AD552D"/>
    <w:rsid w:val="00AE1491"/>
    <w:rsid w:val="00AF4B30"/>
    <w:rsid w:val="00B114CA"/>
    <w:rsid w:val="00B125DA"/>
    <w:rsid w:val="00B127FB"/>
    <w:rsid w:val="00B27228"/>
    <w:rsid w:val="00B3342F"/>
    <w:rsid w:val="00B42C0D"/>
    <w:rsid w:val="00B554FA"/>
    <w:rsid w:val="00B571A1"/>
    <w:rsid w:val="00B572B1"/>
    <w:rsid w:val="00B60BE9"/>
    <w:rsid w:val="00B7433C"/>
    <w:rsid w:val="00B91E6A"/>
    <w:rsid w:val="00B944B6"/>
    <w:rsid w:val="00BA6891"/>
    <w:rsid w:val="00BC12A7"/>
    <w:rsid w:val="00BC7959"/>
    <w:rsid w:val="00BE2AC1"/>
    <w:rsid w:val="00BE5007"/>
    <w:rsid w:val="00BE65A8"/>
    <w:rsid w:val="00C04939"/>
    <w:rsid w:val="00C15293"/>
    <w:rsid w:val="00C34A3B"/>
    <w:rsid w:val="00C4022E"/>
    <w:rsid w:val="00C4541A"/>
    <w:rsid w:val="00C61E53"/>
    <w:rsid w:val="00C76FDA"/>
    <w:rsid w:val="00C83D42"/>
    <w:rsid w:val="00C87362"/>
    <w:rsid w:val="00C90622"/>
    <w:rsid w:val="00C934BD"/>
    <w:rsid w:val="00C938C1"/>
    <w:rsid w:val="00C9787C"/>
    <w:rsid w:val="00CA772A"/>
    <w:rsid w:val="00CC2529"/>
    <w:rsid w:val="00CF0748"/>
    <w:rsid w:val="00CF514B"/>
    <w:rsid w:val="00D05921"/>
    <w:rsid w:val="00D322A3"/>
    <w:rsid w:val="00D60A52"/>
    <w:rsid w:val="00D618B8"/>
    <w:rsid w:val="00D7764A"/>
    <w:rsid w:val="00D82736"/>
    <w:rsid w:val="00D84730"/>
    <w:rsid w:val="00D91C5E"/>
    <w:rsid w:val="00D92D56"/>
    <w:rsid w:val="00D968CE"/>
    <w:rsid w:val="00D969CB"/>
    <w:rsid w:val="00DA5792"/>
    <w:rsid w:val="00DA7806"/>
    <w:rsid w:val="00DB0A95"/>
    <w:rsid w:val="00DB6F8C"/>
    <w:rsid w:val="00DC58FD"/>
    <w:rsid w:val="00DD2D71"/>
    <w:rsid w:val="00E132A1"/>
    <w:rsid w:val="00E22209"/>
    <w:rsid w:val="00E26D3C"/>
    <w:rsid w:val="00E348D2"/>
    <w:rsid w:val="00E5349C"/>
    <w:rsid w:val="00E56570"/>
    <w:rsid w:val="00E738DC"/>
    <w:rsid w:val="00E742B4"/>
    <w:rsid w:val="00E8550F"/>
    <w:rsid w:val="00E86051"/>
    <w:rsid w:val="00EC4CCF"/>
    <w:rsid w:val="00EE268B"/>
    <w:rsid w:val="00EE3105"/>
    <w:rsid w:val="00EF57CC"/>
    <w:rsid w:val="00F1023E"/>
    <w:rsid w:val="00F179C0"/>
    <w:rsid w:val="00F3181E"/>
    <w:rsid w:val="00F33A5D"/>
    <w:rsid w:val="00F36440"/>
    <w:rsid w:val="00F5730F"/>
    <w:rsid w:val="00F64B3C"/>
    <w:rsid w:val="00F85BC7"/>
    <w:rsid w:val="00FB28C7"/>
    <w:rsid w:val="00FB69E7"/>
    <w:rsid w:val="00FC28A6"/>
    <w:rsid w:val="00FD2BC3"/>
    <w:rsid w:val="00FF6D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A11"/>
    <w:pPr>
      <w:spacing w:after="200" w:line="276" w:lineRule="auto"/>
      <w:jc w:val="left"/>
    </w:pPr>
  </w:style>
  <w:style w:type="paragraph" w:styleId="Heading1">
    <w:name w:val="heading 1"/>
    <w:basedOn w:val="Normal"/>
    <w:next w:val="Normal"/>
    <w:link w:val="Heading1Char"/>
    <w:uiPriority w:val="9"/>
    <w:qFormat/>
    <w:rsid w:val="00376F5C"/>
    <w:pPr>
      <w:keepNext/>
      <w:keepLines/>
      <w:spacing w:before="480" w:after="0" w:line="48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6F5C"/>
    <w:pPr>
      <w:keepNext/>
      <w:keepLines/>
      <w:spacing w:before="200" w:after="0" w:line="480" w:lineRule="auto"/>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F5C"/>
    <w:pPr>
      <w:keepNext/>
      <w:keepLines/>
      <w:spacing w:before="200" w:after="0" w:line="480" w:lineRule="auto"/>
      <w:jc w:val="both"/>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unhideWhenUsed/>
    <w:qFormat/>
    <w:rsid w:val="00376F5C"/>
    <w:pPr>
      <w:keepNext/>
      <w:keepLines/>
      <w:spacing w:before="200" w:after="0" w:line="480" w:lineRule="auto"/>
      <w:jc w:val="both"/>
      <w:outlineLvl w:val="3"/>
    </w:pPr>
    <w:rPr>
      <w:rFonts w:asciiTheme="majorHAnsi" w:eastAsiaTheme="majorEastAsia" w:hAnsiTheme="majorHAnsi" w:cstheme="majorBidi"/>
      <w:b/>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F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6F5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76F5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76F5C"/>
    <w:rPr>
      <w:rFonts w:asciiTheme="majorHAnsi" w:eastAsiaTheme="majorEastAsia" w:hAnsiTheme="majorHAnsi" w:cstheme="majorBidi"/>
      <w:b/>
      <w:bCs/>
      <w:i/>
      <w:iCs/>
      <w:color w:val="4F81BD" w:themeColor="accent1"/>
    </w:rPr>
  </w:style>
  <w:style w:type="paragraph" w:styleId="NoSpacing">
    <w:name w:val="No Spacing"/>
    <w:uiPriority w:val="1"/>
    <w:qFormat/>
    <w:rsid w:val="00066C69"/>
    <w:pPr>
      <w:spacing w:line="240" w:lineRule="auto"/>
    </w:pPr>
    <w:rPr>
      <w:sz w:val="24"/>
    </w:rPr>
  </w:style>
  <w:style w:type="paragraph" w:styleId="FootnoteText">
    <w:name w:val="footnote text"/>
    <w:basedOn w:val="Normal"/>
    <w:link w:val="FootnoteTextChar"/>
    <w:uiPriority w:val="99"/>
    <w:semiHidden/>
    <w:unhideWhenUsed/>
    <w:rsid w:val="00A6265A"/>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A6265A"/>
    <w:rPr>
      <w:sz w:val="20"/>
      <w:szCs w:val="20"/>
    </w:rPr>
  </w:style>
  <w:style w:type="character" w:styleId="FootnoteReference">
    <w:name w:val="footnote reference"/>
    <w:basedOn w:val="DefaultParagraphFont"/>
    <w:uiPriority w:val="99"/>
    <w:semiHidden/>
    <w:unhideWhenUsed/>
    <w:rsid w:val="00A6265A"/>
    <w:rPr>
      <w:vertAlign w:val="superscript"/>
    </w:rPr>
  </w:style>
  <w:style w:type="paragraph" w:styleId="EndnoteText">
    <w:name w:val="endnote text"/>
    <w:basedOn w:val="Normal"/>
    <w:link w:val="EndnoteTextChar"/>
    <w:uiPriority w:val="99"/>
    <w:semiHidden/>
    <w:unhideWhenUsed/>
    <w:rsid w:val="003939FA"/>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3939FA"/>
    <w:rPr>
      <w:sz w:val="20"/>
      <w:szCs w:val="20"/>
    </w:rPr>
  </w:style>
  <w:style w:type="character" w:styleId="EndnoteReference">
    <w:name w:val="endnote reference"/>
    <w:basedOn w:val="DefaultParagraphFont"/>
    <w:uiPriority w:val="99"/>
    <w:semiHidden/>
    <w:unhideWhenUsed/>
    <w:rsid w:val="003939FA"/>
    <w:rPr>
      <w:vertAlign w:val="superscript"/>
    </w:rPr>
  </w:style>
  <w:style w:type="paragraph" w:styleId="Header">
    <w:name w:val="header"/>
    <w:basedOn w:val="Normal"/>
    <w:link w:val="HeaderChar"/>
    <w:uiPriority w:val="99"/>
    <w:semiHidden/>
    <w:unhideWhenUsed/>
    <w:rsid w:val="00314D12"/>
    <w:pPr>
      <w:tabs>
        <w:tab w:val="center" w:pos="4680"/>
        <w:tab w:val="right" w:pos="9360"/>
      </w:tabs>
      <w:spacing w:after="0" w:line="240" w:lineRule="auto"/>
      <w:jc w:val="both"/>
    </w:pPr>
    <w:rPr>
      <w:sz w:val="24"/>
    </w:rPr>
  </w:style>
  <w:style w:type="character" w:customStyle="1" w:styleId="HeaderChar">
    <w:name w:val="Header Char"/>
    <w:basedOn w:val="DefaultParagraphFont"/>
    <w:link w:val="Header"/>
    <w:uiPriority w:val="99"/>
    <w:semiHidden/>
    <w:rsid w:val="00314D12"/>
    <w:rPr>
      <w:sz w:val="24"/>
    </w:rPr>
  </w:style>
  <w:style w:type="paragraph" w:styleId="Footer">
    <w:name w:val="footer"/>
    <w:basedOn w:val="Normal"/>
    <w:link w:val="FooterChar"/>
    <w:uiPriority w:val="99"/>
    <w:unhideWhenUsed/>
    <w:rsid w:val="00314D12"/>
    <w:pPr>
      <w:tabs>
        <w:tab w:val="center" w:pos="4680"/>
        <w:tab w:val="right" w:pos="9360"/>
      </w:tabs>
      <w:spacing w:after="0" w:line="240" w:lineRule="auto"/>
      <w:jc w:val="both"/>
    </w:pPr>
    <w:rPr>
      <w:sz w:val="24"/>
    </w:rPr>
  </w:style>
  <w:style w:type="character" w:customStyle="1" w:styleId="FooterChar">
    <w:name w:val="Footer Char"/>
    <w:basedOn w:val="DefaultParagraphFont"/>
    <w:link w:val="Footer"/>
    <w:uiPriority w:val="99"/>
    <w:rsid w:val="00314D12"/>
    <w:rPr>
      <w:sz w:val="24"/>
    </w:rPr>
  </w:style>
  <w:style w:type="character" w:customStyle="1" w:styleId="apple-converted-space">
    <w:name w:val="apple-converted-space"/>
    <w:basedOn w:val="DefaultParagraphFont"/>
    <w:rsid w:val="00441C72"/>
  </w:style>
</w:styles>
</file>

<file path=word/webSettings.xml><?xml version="1.0" encoding="utf-8"?>
<w:webSettings xmlns:r="http://schemas.openxmlformats.org/officeDocument/2006/relationships" xmlns:w="http://schemas.openxmlformats.org/wordprocessingml/2006/main">
  <w:divs>
    <w:div w:id="572862113">
      <w:bodyDiv w:val="1"/>
      <w:marLeft w:val="0"/>
      <w:marRight w:val="0"/>
      <w:marTop w:val="0"/>
      <w:marBottom w:val="0"/>
      <w:divBdr>
        <w:top w:val="none" w:sz="0" w:space="0" w:color="auto"/>
        <w:left w:val="none" w:sz="0" w:space="0" w:color="auto"/>
        <w:bottom w:val="none" w:sz="0" w:space="0" w:color="auto"/>
        <w:right w:val="none" w:sz="0" w:space="0" w:color="auto"/>
      </w:divBdr>
    </w:div>
    <w:div w:id="108962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F6D39-20BC-4AD3-97C1-5BC32B5E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john weldon powell</cp:lastModifiedBy>
  <cp:revision>2</cp:revision>
  <cp:lastPrinted>2011-08-23T23:49:00Z</cp:lastPrinted>
  <dcterms:created xsi:type="dcterms:W3CDTF">2012-10-11T16:19:00Z</dcterms:created>
  <dcterms:modified xsi:type="dcterms:W3CDTF">2012-10-11T16:19:00Z</dcterms:modified>
</cp:coreProperties>
</file>