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125" w:rsidRDefault="00795125" w:rsidP="00795125">
      <w:pPr>
        <w:pStyle w:val="NoSpacing"/>
        <w:jc w:val="center"/>
      </w:pPr>
    </w:p>
    <w:p w:rsidR="00795125" w:rsidRDefault="00795125" w:rsidP="00795125">
      <w:pPr>
        <w:pStyle w:val="NoSpacing"/>
        <w:jc w:val="center"/>
      </w:pPr>
    </w:p>
    <w:p w:rsidR="00795125" w:rsidRDefault="00795125" w:rsidP="00795125">
      <w:pPr>
        <w:pStyle w:val="NoSpacing"/>
        <w:jc w:val="center"/>
      </w:pPr>
    </w:p>
    <w:p w:rsidR="00795125" w:rsidRDefault="00795125" w:rsidP="00795125">
      <w:pPr>
        <w:pStyle w:val="NoSpacing"/>
        <w:jc w:val="center"/>
      </w:pPr>
      <w:r>
        <w:t xml:space="preserve">Realism, </w:t>
      </w:r>
      <w:proofErr w:type="spellStart"/>
      <w:r>
        <w:t>Nominalism</w:t>
      </w:r>
      <w:proofErr w:type="spellEnd"/>
      <w:r>
        <w:t>, Resemblance Theory, and Contested Cases</w:t>
      </w:r>
    </w:p>
    <w:p w:rsidR="00795125" w:rsidRDefault="00795125" w:rsidP="00795125">
      <w:pPr>
        <w:pStyle w:val="NoSpacing"/>
        <w:jc w:val="center"/>
      </w:pPr>
      <w:r>
        <w:t xml:space="preserve">Howard Benjamin </w:t>
      </w:r>
      <w:proofErr w:type="spellStart"/>
      <w:r>
        <w:t>Shaeffer</w:t>
      </w:r>
      <w:proofErr w:type="spellEnd"/>
    </w:p>
    <w:p w:rsidR="00795125" w:rsidRPr="008421C2" w:rsidRDefault="00795125" w:rsidP="00795125">
      <w:pPr>
        <w:pStyle w:val="NoSpacing"/>
        <w:jc w:val="center"/>
      </w:pPr>
    </w:p>
    <w:p w:rsidR="00795125" w:rsidRDefault="00795125" w:rsidP="00795125">
      <w:pPr>
        <w:pStyle w:val="NoSpacing"/>
        <w:jc w:val="center"/>
      </w:pPr>
      <w:r>
        <w:t>Assistant Professor of Philosophy</w:t>
      </w:r>
    </w:p>
    <w:p w:rsidR="00795125" w:rsidRDefault="00795125" w:rsidP="00795125">
      <w:pPr>
        <w:pStyle w:val="NoSpacing"/>
        <w:jc w:val="center"/>
      </w:pPr>
      <w:r>
        <w:t>Humboldt State University</w:t>
      </w:r>
    </w:p>
    <w:p w:rsidR="00795125" w:rsidRDefault="00795125" w:rsidP="00795125">
      <w:pPr>
        <w:pStyle w:val="NoSpacing"/>
        <w:jc w:val="center"/>
      </w:pPr>
      <w:r>
        <w:t xml:space="preserve">1 </w:t>
      </w:r>
      <w:proofErr w:type="spellStart"/>
      <w:r>
        <w:t>Harpst</w:t>
      </w:r>
      <w:proofErr w:type="spellEnd"/>
      <w:r>
        <w:t xml:space="preserve"> St.</w:t>
      </w:r>
    </w:p>
    <w:p w:rsidR="00795125" w:rsidRDefault="00795125" w:rsidP="00795125">
      <w:pPr>
        <w:pStyle w:val="NoSpacing"/>
        <w:jc w:val="center"/>
      </w:pPr>
      <w:r>
        <w:t>Arcata, CA</w:t>
      </w:r>
    </w:p>
    <w:p w:rsidR="00795125" w:rsidRDefault="00795125" w:rsidP="00795125">
      <w:pPr>
        <w:pStyle w:val="NoSpacing"/>
        <w:jc w:val="center"/>
      </w:pPr>
      <w:r>
        <w:t>95521</w:t>
      </w:r>
    </w:p>
    <w:p w:rsidR="00795125" w:rsidRDefault="0058269E" w:rsidP="00795125">
      <w:pPr>
        <w:pStyle w:val="NoSpacing"/>
        <w:jc w:val="center"/>
      </w:pPr>
      <w:hyperlink r:id="rId8" w:history="1">
        <w:r w:rsidR="00795125" w:rsidRPr="004448E2">
          <w:rPr>
            <w:rStyle w:val="Hyperlink"/>
            <w:rFonts w:cstheme="minorBidi"/>
          </w:rPr>
          <w:t>hbs1@humboldt.edu</w:t>
        </w:r>
      </w:hyperlink>
    </w:p>
    <w:p w:rsidR="00795125" w:rsidRDefault="00795125" w:rsidP="00795125">
      <w:pPr>
        <w:pStyle w:val="NoSpacing"/>
        <w:jc w:val="center"/>
      </w:pPr>
      <w:r>
        <w:t>707-826-5755</w:t>
      </w:r>
    </w:p>
    <w:p w:rsidR="00795125" w:rsidRDefault="00795125" w:rsidP="00795125">
      <w:pPr>
        <w:jc w:val="center"/>
      </w:pPr>
    </w:p>
    <w:p w:rsidR="00795125" w:rsidRDefault="00795125" w:rsidP="00795125">
      <w:pPr>
        <w:pStyle w:val="NoSpacing"/>
      </w:pPr>
      <w:r w:rsidRPr="00936037">
        <w:rPr>
          <w:u w:val="single"/>
        </w:rPr>
        <w:t>Abstract</w:t>
      </w:r>
      <w:r>
        <w:t xml:space="preserve">:  According to </w:t>
      </w:r>
      <w:proofErr w:type="spellStart"/>
      <w:r>
        <w:t>Renford</w:t>
      </w:r>
      <w:proofErr w:type="spellEnd"/>
      <w:r>
        <w:t xml:space="preserve"> </w:t>
      </w:r>
      <w:proofErr w:type="spellStart"/>
      <w:r>
        <w:t>Bambrough</w:t>
      </w:r>
      <w:proofErr w:type="spellEnd"/>
      <w:r>
        <w:t xml:space="preserve">, Wittgenstein’s family resemblance account of universals –which is at odds with both realism and </w:t>
      </w:r>
      <w:proofErr w:type="spellStart"/>
      <w:r>
        <w:t>nominalism</w:t>
      </w:r>
      <w:proofErr w:type="spellEnd"/>
      <w:r>
        <w:t xml:space="preserve"> -- solves the problem of universals.  After rehearsing Wittgenstein’s arguments against both </w:t>
      </w:r>
      <w:proofErr w:type="spellStart"/>
      <w:r>
        <w:t>nominalism</w:t>
      </w:r>
      <w:proofErr w:type="spellEnd"/>
      <w:r>
        <w:t xml:space="preserve"> and realism, I argue that Wittgenstein’s view does not do an adequate job explaining how we resolve the problem of universals for important, contested cases, such as art, justice, and science.  I conclude that we are, in those cases, driven back to </w:t>
      </w:r>
      <w:proofErr w:type="spellStart"/>
      <w:r>
        <w:t>nominalism</w:t>
      </w:r>
      <w:proofErr w:type="spellEnd"/>
      <w:r>
        <w:t xml:space="preserve">.  </w:t>
      </w:r>
      <w:proofErr w:type="gramStart"/>
      <w:r>
        <w:t>2991 words.</w:t>
      </w:r>
      <w:proofErr w:type="gramEnd"/>
    </w:p>
    <w:p w:rsidR="00795125" w:rsidRPr="007E7E43" w:rsidRDefault="00795125" w:rsidP="00795125">
      <w:pPr>
        <w:pStyle w:val="NoSpacing"/>
        <w:ind w:left="1080"/>
      </w:pPr>
    </w:p>
    <w:p w:rsidR="00795125" w:rsidRPr="007E7E43" w:rsidRDefault="00795125" w:rsidP="00795125">
      <w:pPr>
        <w:pStyle w:val="NoSpacing"/>
        <w:ind w:left="1080"/>
      </w:pPr>
    </w:p>
    <w:p w:rsidR="00795125" w:rsidRDefault="00795125" w:rsidP="00795125">
      <w:pPr>
        <w:ind w:firstLine="720"/>
      </w:pPr>
    </w:p>
    <w:p w:rsidR="00795125" w:rsidRDefault="00795125" w:rsidP="00795125">
      <w:pPr>
        <w:ind w:firstLine="720"/>
      </w:pPr>
    </w:p>
    <w:p w:rsidR="00795125" w:rsidRDefault="00795125" w:rsidP="00795125">
      <w:pPr>
        <w:pStyle w:val="NoSpacing"/>
        <w:jc w:val="center"/>
      </w:pPr>
    </w:p>
    <w:p w:rsidR="00795125" w:rsidRDefault="00795125" w:rsidP="007466A5">
      <w:pPr>
        <w:ind w:firstLine="720"/>
      </w:pPr>
    </w:p>
    <w:p w:rsidR="00795125" w:rsidRDefault="00795125" w:rsidP="007466A5">
      <w:pPr>
        <w:ind w:firstLine="720"/>
      </w:pPr>
    </w:p>
    <w:p w:rsidR="00795125" w:rsidRDefault="00795125" w:rsidP="007466A5">
      <w:pPr>
        <w:ind w:firstLine="720"/>
      </w:pPr>
    </w:p>
    <w:p w:rsidR="00795125" w:rsidRDefault="00795125" w:rsidP="007466A5">
      <w:pPr>
        <w:ind w:firstLine="720"/>
      </w:pPr>
    </w:p>
    <w:p w:rsidR="00795125" w:rsidRDefault="00795125" w:rsidP="007466A5">
      <w:pPr>
        <w:ind w:firstLine="720"/>
      </w:pPr>
    </w:p>
    <w:p w:rsidR="00795125" w:rsidRDefault="00795125" w:rsidP="007466A5">
      <w:pPr>
        <w:ind w:firstLine="720"/>
      </w:pPr>
    </w:p>
    <w:p w:rsidR="00795125" w:rsidRDefault="00795125" w:rsidP="007466A5">
      <w:pPr>
        <w:ind w:firstLine="720"/>
      </w:pPr>
    </w:p>
    <w:p w:rsidR="007466A5" w:rsidRDefault="00147EB1" w:rsidP="007466A5">
      <w:pPr>
        <w:ind w:firstLine="720"/>
      </w:pPr>
      <w:r>
        <w:lastRenderedPageBreak/>
        <w:t xml:space="preserve">Did Wittgenstein solve the problem of universals?  </w:t>
      </w:r>
      <w:r w:rsidR="008421C2">
        <w:t xml:space="preserve">According to </w:t>
      </w:r>
      <w:proofErr w:type="spellStart"/>
      <w:r w:rsidR="008421C2">
        <w:t>Renford</w:t>
      </w:r>
      <w:proofErr w:type="spellEnd"/>
      <w:r w:rsidR="008421C2">
        <w:t xml:space="preserve"> </w:t>
      </w:r>
      <w:proofErr w:type="spellStart"/>
      <w:r w:rsidR="008421C2">
        <w:t>Bambrough</w:t>
      </w:r>
      <w:proofErr w:type="spellEnd"/>
      <w:r w:rsidR="008421C2">
        <w:rPr>
          <w:rStyle w:val="FootnoteReference"/>
          <w:rFonts w:cstheme="minorBidi"/>
        </w:rPr>
        <w:footnoteReference w:id="1"/>
      </w:r>
      <w:r w:rsidR="008421C2">
        <w:t xml:space="preserve">, </w:t>
      </w:r>
      <w:r>
        <w:t xml:space="preserve">he did.  </w:t>
      </w:r>
      <w:r w:rsidR="002F6244">
        <w:t xml:space="preserve">On </w:t>
      </w:r>
      <w:proofErr w:type="spellStart"/>
      <w:r w:rsidR="002F6244">
        <w:t>Bambrough’s</w:t>
      </w:r>
      <w:proofErr w:type="spellEnd"/>
      <w:r w:rsidR="002F6244">
        <w:t xml:space="preserve"> interpretation (which I think is basically correct), Wittgenstein’s resemblance theory of universals</w:t>
      </w:r>
      <w:r w:rsidR="008421C2">
        <w:t xml:space="preserve"> holds simply that what all games, for instance, have in common, are that they </w:t>
      </w:r>
      <w:r w:rsidR="008421C2" w:rsidRPr="008421C2">
        <w:rPr>
          <w:u w:val="single"/>
        </w:rPr>
        <w:t>are games</w:t>
      </w:r>
      <w:r w:rsidR="008421C2">
        <w:t xml:space="preserve">.  </w:t>
      </w:r>
      <w:r w:rsidR="002F6244">
        <w:t xml:space="preserve">Wittgenstein is thereby at odds with both realism and </w:t>
      </w:r>
      <w:proofErr w:type="spellStart"/>
      <w:r w:rsidR="002F6244">
        <w:t>nominalism</w:t>
      </w:r>
      <w:proofErr w:type="spellEnd"/>
      <w:r w:rsidR="002F6244">
        <w:t xml:space="preserve">.  </w:t>
      </w:r>
      <w:r w:rsidR="005639E0">
        <w:t xml:space="preserve">The realist thinks </w:t>
      </w:r>
      <w:r w:rsidR="00526874">
        <w:t>tha</w:t>
      </w:r>
      <w:r w:rsidR="005639E0">
        <w:t xml:space="preserve">t what all games (for example) </w:t>
      </w:r>
      <w:r w:rsidR="00526874">
        <w:t xml:space="preserve">have in common is that they </w:t>
      </w:r>
      <w:r w:rsidR="00927B48">
        <w:t xml:space="preserve">have the </w:t>
      </w:r>
      <w:r w:rsidR="00526874">
        <w:t xml:space="preserve">essential characteristics of games.  The </w:t>
      </w:r>
      <w:proofErr w:type="spellStart"/>
      <w:r w:rsidR="00526874">
        <w:t>nomina</w:t>
      </w:r>
      <w:r w:rsidR="009B61B9">
        <w:t>list</w:t>
      </w:r>
      <w:proofErr w:type="spellEnd"/>
      <w:r w:rsidR="009B61B9">
        <w:t xml:space="preserve">, on the other hand, says </w:t>
      </w:r>
      <w:r w:rsidR="00526874">
        <w:t xml:space="preserve">that the only thing all games have in common is that they are called “games”. </w:t>
      </w:r>
      <w:r w:rsidR="007466A5">
        <w:t xml:space="preserve">Suppose we disagree over whether tossing a ball against a wall and catching it constitutes a game.  The realist’s position implies that our disagreement could in principle be settled on objective grounds:  that there is a </w:t>
      </w:r>
      <w:r w:rsidR="007466A5" w:rsidRPr="000F6C86">
        <w:rPr>
          <w:u w:val="single"/>
        </w:rPr>
        <w:t>real definition</w:t>
      </w:r>
      <w:r w:rsidR="007466A5">
        <w:t xml:space="preserve"> of “game” that exists independently of human agreement and against which our judgments about what constitutes a game can be judged right or wrong.  The </w:t>
      </w:r>
      <w:proofErr w:type="spellStart"/>
      <w:r w:rsidR="007466A5">
        <w:t>nominalist’s</w:t>
      </w:r>
      <w:proofErr w:type="spellEnd"/>
      <w:r w:rsidR="007466A5">
        <w:t xml:space="preserve"> position implies that there is no such real definition, and that our disagreement cannot be settled on principled grounds.  What makes it the case that tossing a ball against a wall and catching is a game, if it is a game, is simply that we decide to call it one.</w:t>
      </w:r>
    </w:p>
    <w:p w:rsidR="006A5081" w:rsidRDefault="00EF50A2" w:rsidP="007466A5">
      <w:pPr>
        <w:pStyle w:val="NoSpacing"/>
        <w:spacing w:line="480" w:lineRule="auto"/>
        <w:ind w:firstLine="720"/>
      </w:pPr>
      <w:r>
        <w:t xml:space="preserve">Wittgenstein held that the meaning of a person’s speech </w:t>
      </w:r>
      <w:r w:rsidR="009B61B9">
        <w:t xml:space="preserve">is its use in human activity.  </w:t>
      </w:r>
      <w:r w:rsidR="0076316C">
        <w:t>A</w:t>
      </w:r>
      <w:r w:rsidR="009B61B9">
        <w:t xml:space="preserve">n analysis of the meaning of “game” will </w:t>
      </w:r>
      <w:r w:rsidR="0076316C">
        <w:t xml:space="preserve">be a matter of describing </w:t>
      </w:r>
      <w:r w:rsidR="009B61B9">
        <w:t xml:space="preserve">the various ways in which the word functions in the different contexts where it </w:t>
      </w:r>
      <w:r w:rsidR="009B61B9" w:rsidRPr="009B61B9">
        <w:t>has a home</w:t>
      </w:r>
      <w:r w:rsidR="009B61B9">
        <w:t xml:space="preserve">, as it were.  </w:t>
      </w:r>
      <w:r>
        <w:t xml:space="preserve">When </w:t>
      </w:r>
      <w:r w:rsidR="00637B0E">
        <w:t xml:space="preserve">we do, </w:t>
      </w:r>
      <w:r>
        <w:t>w</w:t>
      </w:r>
      <w:r w:rsidR="009B61B9">
        <w:t xml:space="preserve">e find that there is nothing that all </w:t>
      </w:r>
      <w:r w:rsidR="0076316C">
        <w:t xml:space="preserve">the things we call “game” have in </w:t>
      </w:r>
      <w:r>
        <w:t>common</w:t>
      </w:r>
      <w:r w:rsidR="0076316C">
        <w:t xml:space="preserve">:  </w:t>
      </w:r>
    </w:p>
    <w:p w:rsidR="006A5081" w:rsidRDefault="006A5081" w:rsidP="006A5081">
      <w:pPr>
        <w:pStyle w:val="NoSpacing"/>
      </w:pPr>
    </w:p>
    <w:p w:rsidR="006A5081" w:rsidRDefault="006A5081" w:rsidP="006A5081">
      <w:pPr>
        <w:pStyle w:val="NoSpacing"/>
      </w:pPr>
      <w:r w:rsidRPr="007E7E43">
        <w:t xml:space="preserve">Consider, for example, the proceedings that we call “games”.  I mean board-games, card-games, ball-games, Olympic </w:t>
      </w:r>
      <w:proofErr w:type="gramStart"/>
      <w:r w:rsidRPr="007E7E43">
        <w:t>games</w:t>
      </w:r>
      <w:proofErr w:type="gramEnd"/>
      <w:r w:rsidRPr="007E7E43">
        <w:t>, and so on.  What is common to them a</w:t>
      </w:r>
      <w:r w:rsidR="00293F7F">
        <w:t>ll?  Don’t say:  “There must be</w:t>
      </w:r>
      <w:r w:rsidRPr="007E7E43">
        <w:t xml:space="preserve"> something common, or they would not be called ‘games’” – but look and see whether there is anything common to all.  For if you look at them you will not see something that is common to all, but similarities, relationships, and a whole series of them at that.  To r</w:t>
      </w:r>
      <w:r w:rsidR="0087498B" w:rsidRPr="007E7E43">
        <w:t xml:space="preserve">epeat:  don’t think, but look! …And the result of this examination is:  we see a complicated network of similarities </w:t>
      </w:r>
      <w:r w:rsidR="0087498B" w:rsidRPr="007E7E43">
        <w:lastRenderedPageBreak/>
        <w:t xml:space="preserve">overlapping and </w:t>
      </w:r>
      <w:proofErr w:type="spellStart"/>
      <w:r w:rsidR="0087498B" w:rsidRPr="007E7E43">
        <w:t>criss</w:t>
      </w:r>
      <w:proofErr w:type="spellEnd"/>
      <w:r w:rsidR="0087498B" w:rsidRPr="007E7E43">
        <w:t xml:space="preserve">-crossing:  sometimes overall similarities, sometimes similarities of detail.  </w:t>
      </w:r>
      <w:proofErr w:type="gramStart"/>
      <w:r w:rsidR="0087498B" w:rsidRPr="007E7E43">
        <w:t>(PI 66).</w:t>
      </w:r>
      <w:proofErr w:type="gramEnd"/>
      <w:r w:rsidR="0087498B" w:rsidRPr="007E7E43">
        <w:t xml:space="preserve">  </w:t>
      </w:r>
    </w:p>
    <w:p w:rsidR="005A71B2" w:rsidRDefault="005A71B2" w:rsidP="006A5081">
      <w:pPr>
        <w:pStyle w:val="NoSpacing"/>
      </w:pPr>
    </w:p>
    <w:p w:rsidR="005A71B2" w:rsidRDefault="005A71B2" w:rsidP="006A5081">
      <w:pPr>
        <w:pStyle w:val="NoSpacing"/>
      </w:pPr>
    </w:p>
    <w:p w:rsidR="00B27E21" w:rsidRDefault="007466A5" w:rsidP="007466A5">
      <w:pPr>
        <w:pStyle w:val="NoSpacing"/>
        <w:spacing w:line="480" w:lineRule="auto"/>
      </w:pPr>
      <w:r>
        <w:t>A</w:t>
      </w:r>
      <w:r w:rsidR="00740073">
        <w:t xml:space="preserve">lthough there </w:t>
      </w:r>
      <w:r>
        <w:t xml:space="preserve">are a number of features </w:t>
      </w:r>
      <w:r w:rsidR="00740073">
        <w:t xml:space="preserve">that figure in </w:t>
      </w:r>
      <w:proofErr w:type="gramStart"/>
      <w:r w:rsidR="00740073">
        <w:t>something’s</w:t>
      </w:r>
      <w:proofErr w:type="gramEnd"/>
      <w:r w:rsidR="00740073">
        <w:t xml:space="preserve"> being a game, there is no one of these features that all games have in common.  But the games form a family in that some combination of these features is always present, th</w:t>
      </w:r>
      <w:r w:rsidR="005A71B2">
        <w:t>ough no one combination</w:t>
      </w:r>
      <w:r>
        <w:t xml:space="preserve"> </w:t>
      </w:r>
      <w:r w:rsidR="00740073">
        <w:t xml:space="preserve">is always present.  </w:t>
      </w:r>
    </w:p>
    <w:p w:rsidR="00286ACE" w:rsidRDefault="009B61B9" w:rsidP="00B27E21">
      <w:pPr>
        <w:pStyle w:val="NoSpacing"/>
        <w:spacing w:line="480" w:lineRule="auto"/>
        <w:ind w:firstLine="720"/>
      </w:pPr>
      <w:r>
        <w:t xml:space="preserve">It is obvious that Wittgenstein’s view has more affinities with </w:t>
      </w:r>
      <w:proofErr w:type="spellStart"/>
      <w:r>
        <w:t>nominalism</w:t>
      </w:r>
      <w:proofErr w:type="spellEnd"/>
      <w:r>
        <w:t xml:space="preserve"> than with realism</w:t>
      </w:r>
      <w:r w:rsidR="00B27E21">
        <w:t xml:space="preserve">,  insofar as they both have it that it is our saying that </w:t>
      </w:r>
      <w:r w:rsidR="00B27E21" w:rsidRPr="00B27E21">
        <w:rPr>
          <w:i/>
        </w:rPr>
        <w:t>x</w:t>
      </w:r>
      <w:r w:rsidR="00B27E21">
        <w:t xml:space="preserve"> is a game, ultimately, that makes it the case that </w:t>
      </w:r>
      <w:r w:rsidR="00B27E21" w:rsidRPr="00B27E21">
        <w:rPr>
          <w:i/>
        </w:rPr>
        <w:t>x</w:t>
      </w:r>
      <w:r w:rsidR="00B27E21">
        <w:t xml:space="preserve"> is a game.  But as </w:t>
      </w:r>
      <w:proofErr w:type="spellStart"/>
      <w:r w:rsidR="00B27E21">
        <w:t>Bambrough</w:t>
      </w:r>
      <w:proofErr w:type="spellEnd"/>
      <w:r w:rsidR="00B27E21">
        <w:t xml:space="preserve"> points out, t</w:t>
      </w:r>
      <w:r w:rsidR="00286ACE">
        <w:t xml:space="preserve">he </w:t>
      </w:r>
      <w:proofErr w:type="spellStart"/>
      <w:r w:rsidR="00286ACE">
        <w:t>nominalist</w:t>
      </w:r>
      <w:proofErr w:type="spellEnd"/>
      <w:r w:rsidR="00286ACE">
        <w:t xml:space="preserve"> cannot explain how it is a person is able to learn applications of terms like ‘chair’ to new cases.  Suppose, he says, that we invent a term (call it “alpha”) that refers to whatever we say it refers to, in accord with the </w:t>
      </w:r>
      <w:proofErr w:type="spellStart"/>
      <w:r w:rsidR="00286ACE">
        <w:t>nominalist’s</w:t>
      </w:r>
      <w:proofErr w:type="spellEnd"/>
      <w:r w:rsidR="00286ACE">
        <w:t xml:space="preserve"> theory of how general terms work.  Then it follows that we will have applied the term </w:t>
      </w:r>
      <w:r w:rsidR="00286ACE" w:rsidRPr="005E7999">
        <w:rPr>
          <w:u w:val="single"/>
        </w:rPr>
        <w:t>arbitrarily</w:t>
      </w:r>
      <w:r w:rsidR="00286ACE">
        <w:t xml:space="preserve"> to the things we label as alphas.  But if that is so, then it will be impossible for someone to learn the term such that he or she will know how to apply it in the future; and furthermore, any such applications will necessarily be wrong, because those future items will not be things that we have called “alpha”.  So the </w:t>
      </w:r>
      <w:proofErr w:type="spellStart"/>
      <w:r w:rsidR="00286ACE">
        <w:t>nominalist</w:t>
      </w:r>
      <w:proofErr w:type="spellEnd"/>
      <w:r w:rsidR="00286ACE">
        <w:t xml:space="preserve"> cannot explain two important aspects of concept possession, namely, our ability to learn how to apply concepts beyond the particular examples we are given, and, perhaps more importantly, the capacity to do so </w:t>
      </w:r>
      <w:r w:rsidR="00286ACE" w:rsidRPr="00062E39">
        <w:rPr>
          <w:u w:val="single"/>
        </w:rPr>
        <w:t>correctly</w:t>
      </w:r>
      <w:r w:rsidR="00286ACE">
        <w:t xml:space="preserve">.    </w:t>
      </w:r>
      <w:r w:rsidR="00B27E21">
        <w:t>T</w:t>
      </w:r>
      <w:r w:rsidR="00286ACE">
        <w:t>he resemblance account</w:t>
      </w:r>
      <w:r w:rsidR="00B27E21">
        <w:t xml:space="preserve">, however, </w:t>
      </w:r>
      <w:r w:rsidR="00286ACE" w:rsidRPr="006A5081">
        <w:rPr>
          <w:u w:val="single"/>
        </w:rPr>
        <w:t>can</w:t>
      </w:r>
      <w:r w:rsidR="00286ACE">
        <w:t xml:space="preserve"> explain both how one learns to apply terms to novel cases and what makes it correct to do so.  When one sees that the novel case sufficiently resembles paradigm cases of alphas</w:t>
      </w:r>
      <w:r w:rsidR="00B27E21">
        <w:t xml:space="preserve"> – cases that everyone more or less takes to count as alphas --</w:t>
      </w:r>
      <w:r w:rsidR="00286ACE">
        <w:t xml:space="preserve"> then it is </w:t>
      </w:r>
      <w:r w:rsidR="00286ACE" w:rsidRPr="00B27E21">
        <w:rPr>
          <w:u w:val="single"/>
        </w:rPr>
        <w:t>correct</w:t>
      </w:r>
      <w:r w:rsidR="00286ACE">
        <w:t xml:space="preserve"> to apply the term alpha.  </w:t>
      </w:r>
      <w:r w:rsidR="00B27E21">
        <w:t xml:space="preserve">Resemblance theory avoids realism without making meaning arbitrary.  </w:t>
      </w:r>
    </w:p>
    <w:p w:rsidR="00293F7F" w:rsidRDefault="00D141A3" w:rsidP="00293F7F">
      <w:pPr>
        <w:pStyle w:val="NoSpacing"/>
        <w:spacing w:line="480" w:lineRule="auto"/>
        <w:ind w:firstLine="720"/>
      </w:pPr>
      <w:r>
        <w:lastRenderedPageBreak/>
        <w:t>T</w:t>
      </w:r>
      <w:r w:rsidR="00286ACE">
        <w:t>he r</w:t>
      </w:r>
      <w:r w:rsidR="00696267">
        <w:t xml:space="preserve">ealist </w:t>
      </w:r>
      <w:r>
        <w:t>assumes</w:t>
      </w:r>
      <w:r w:rsidR="007466A5">
        <w:t xml:space="preserve"> we need </w:t>
      </w:r>
      <w:r>
        <w:t>a rule or criterion that, when applied to any test case, will determine whether we are o</w:t>
      </w:r>
      <w:r w:rsidR="006D012D">
        <w:t xml:space="preserve">r are not dealing with a game.  If we lack such a criterion, then we have no </w:t>
      </w:r>
      <w:r w:rsidR="006D012D" w:rsidRPr="006D012D">
        <w:rPr>
          <w:u w:val="single"/>
        </w:rPr>
        <w:t>justification</w:t>
      </w:r>
      <w:r w:rsidR="006D012D">
        <w:t xml:space="preserve"> for applying the word to new contexts, and in that case, the realist speaks, we speak gibberish whenever we use the word.  </w:t>
      </w:r>
      <w:r w:rsidR="00484F52">
        <w:t xml:space="preserve">But if </w:t>
      </w:r>
      <w:r w:rsidR="006D012D">
        <w:t xml:space="preserve">Wittgenstein is right and </w:t>
      </w:r>
      <w:r w:rsidR="00484F52">
        <w:t xml:space="preserve">the word’s meaning is in its </w:t>
      </w:r>
      <w:r w:rsidR="00484F52" w:rsidRPr="006D012D">
        <w:rPr>
          <w:u w:val="single"/>
        </w:rPr>
        <w:t>use</w:t>
      </w:r>
      <w:r w:rsidR="00484F52">
        <w:t>, we have no reason to expect that our definition will be able to cover any logically possible case</w:t>
      </w:r>
      <w:r w:rsidR="00DF0DAD">
        <w:t>, and no need for it to do so</w:t>
      </w:r>
      <w:r w:rsidR="00484F52">
        <w:t>:</w:t>
      </w:r>
    </w:p>
    <w:p w:rsidR="00293F7F" w:rsidRDefault="00293F7F" w:rsidP="00293F7F">
      <w:pPr>
        <w:pStyle w:val="NoSpacing"/>
      </w:pPr>
    </w:p>
    <w:p w:rsidR="00293F7F" w:rsidRDefault="00293F7F" w:rsidP="00293F7F">
      <w:pPr>
        <w:pStyle w:val="NoSpacing"/>
      </w:pPr>
      <w:r w:rsidRPr="00293F7F">
        <w:t>I say “There is a chair”.  What if I go up to it, meaning to fetch it, and it suddenly disappears from sight?  “So it wasn’t a chair, but some kind of illusion”. – But in a few moments we see it again and are able to touch it and so on. …Have you rules ready for such cases – rules saying whether one may use the word “chair” to include this kind of thing?  But do we miss them when we use the word “chair”; and are we to say that we do not really attach any meaning to this word, because we are not equipped with rules for every possi</w:t>
      </w:r>
      <w:r w:rsidR="00AC029D">
        <w:t>ble application of it? (PI 80)</w:t>
      </w:r>
      <w:r w:rsidRPr="00293F7F">
        <w:t xml:space="preserve"> </w:t>
      </w:r>
    </w:p>
    <w:p w:rsidR="00AC029D" w:rsidRDefault="00AC029D" w:rsidP="00DF0DAD">
      <w:pPr>
        <w:pStyle w:val="NoSpacing"/>
        <w:spacing w:line="480" w:lineRule="auto"/>
      </w:pPr>
    </w:p>
    <w:p w:rsidR="00DF0DAD" w:rsidRDefault="00DF0DAD" w:rsidP="00DF0DAD">
      <w:pPr>
        <w:pStyle w:val="NoSpacing"/>
        <w:spacing w:line="480" w:lineRule="auto"/>
      </w:pPr>
      <w:r>
        <w:t xml:space="preserve">Furthermore, the </w:t>
      </w:r>
      <w:r w:rsidRPr="00DF0DAD">
        <w:rPr>
          <w:u w:val="single"/>
        </w:rPr>
        <w:t>need</w:t>
      </w:r>
      <w:r>
        <w:t xml:space="preserve"> for an explanation of the meaning of the terms </w:t>
      </w:r>
      <w:r w:rsidR="007466A5">
        <w:t xml:space="preserve">only </w:t>
      </w:r>
      <w:r>
        <w:t>arises in contexts in which there is a specific misunder</w:t>
      </w:r>
      <w:r w:rsidR="007466A5">
        <w:t>standing, and it is satisfied</w:t>
      </w:r>
      <w:r>
        <w:t xml:space="preserve"> when the </w:t>
      </w:r>
      <w:r w:rsidR="007466A5">
        <w:t xml:space="preserve">specific </w:t>
      </w:r>
      <w:r>
        <w:t xml:space="preserve">misunderstanding is resolved:   </w:t>
      </w:r>
    </w:p>
    <w:p w:rsidR="00DF0DAD" w:rsidRDefault="00DF0DAD" w:rsidP="00293F7F">
      <w:pPr>
        <w:pStyle w:val="NoSpacing"/>
      </w:pPr>
    </w:p>
    <w:p w:rsidR="00AC029D" w:rsidRDefault="00AC029D" w:rsidP="00293F7F">
      <w:pPr>
        <w:pStyle w:val="NoSpacing"/>
      </w:pPr>
      <w:r>
        <w:t>Suppose I give this explanation:  “I take ‘Moses’ to mean the man if, there was such a man, who led the Israelites out of Egypt, whatever he was called then and whatever he may or may not have done besides.” – But similar doubts to those about Moses are possible about the words of this explanation… --But then how does an explanation help me to understand, if after all it is not the final one?  In that case the explanation is never completed, so I still don’t understand what he means, and never shall!” ‘—As though an explanation as it were hung in the air unless supported by another one.  Whereas an explanation may indeed rest on another one that has been given, but none stands in need of another – unless we require it to prevent misunderstanding.  (PI 87)</w:t>
      </w:r>
    </w:p>
    <w:p w:rsidR="006D012D" w:rsidRDefault="006D012D" w:rsidP="00293F7F">
      <w:pPr>
        <w:pStyle w:val="NoSpacing"/>
      </w:pPr>
    </w:p>
    <w:p w:rsidR="00293F7F" w:rsidRDefault="00DF0DAD" w:rsidP="00293F7F">
      <w:pPr>
        <w:pStyle w:val="NoSpacing"/>
        <w:spacing w:line="480" w:lineRule="auto"/>
      </w:pPr>
      <w:r>
        <w:t>The realist’s demand for a criterion for every term only leads to an infinitely regressive analysis, Wittgenstein thinks, and so the explanation will, ultimately, be unsupported.  But that has the absurd consequence that we do not understand one another</w:t>
      </w:r>
      <w:r w:rsidR="00D51503">
        <w:t xml:space="preserve"> ever</w:t>
      </w:r>
      <w:r w:rsidR="007466A5">
        <w:t>.</w:t>
      </w:r>
      <w:r>
        <w:t xml:space="preserve"> It is absurd because it is contradicted by the evidence.  </w:t>
      </w:r>
      <w:r w:rsidR="00D51503">
        <w:t>We see language “working” every moment of every day, since it is woven into every aspect of our daily lives</w:t>
      </w:r>
      <w:r w:rsidR="007466A5">
        <w:t xml:space="preserve">, in ways that are central to our success at cooperative </w:t>
      </w:r>
      <w:r w:rsidR="007466A5">
        <w:lastRenderedPageBreak/>
        <w:t>activity</w:t>
      </w:r>
      <w:r w:rsidR="00D51503">
        <w:t xml:space="preserve">.  </w:t>
      </w:r>
      <w:r w:rsidR="00484F52">
        <w:t>T</w:t>
      </w:r>
      <w:r w:rsidR="00293F7F">
        <w:t xml:space="preserve">here are some contexts where “Stand roughly here” is perfectly exact, depending on what we are trying to accomplish (say I want to take your picture in front of a landscape).  Why should we say that because I cannot specify what precisely I mean by “here”, I am therefore not speaking meaningfully, especially if the photo comes out as we wanted?  </w:t>
      </w:r>
    </w:p>
    <w:p w:rsidR="00BA3F3A" w:rsidRDefault="008366F2" w:rsidP="00286ACE">
      <w:pPr>
        <w:pStyle w:val="NoSpacing"/>
        <w:spacing w:line="480" w:lineRule="auto"/>
      </w:pPr>
      <w:r>
        <w:tab/>
      </w:r>
      <w:r w:rsidR="00E339D3">
        <w:t xml:space="preserve"> </w:t>
      </w:r>
      <w:r w:rsidR="00286ACE">
        <w:t xml:space="preserve">Notice, however, that Wittgenstein’s examples are examples where </w:t>
      </w:r>
      <w:r w:rsidR="00D51503">
        <w:t>it is difficult to imagine much of importance being at stake in whether or not we agree to the extension of the term.  It is difficult to imagine a conversation in which whether a child tossing a ball against a wall and catching it (say) constitutes a game, or whether a barstool constitutes a chair</w:t>
      </w:r>
      <w:r w:rsidR="003E34CA">
        <w:t xml:space="preserve">, </w:t>
      </w:r>
      <w:r w:rsidR="003E34CA" w:rsidRPr="003E34CA">
        <w:rPr>
          <w:u w:val="single"/>
        </w:rPr>
        <w:t>matters</w:t>
      </w:r>
      <w:r w:rsidR="00D51503">
        <w:t>.  This is not to say that we cannot imagine such cases.  But for the most part, it does not matter, with regard to these terms, what we say, so long as we understand one another.  You may insist, and I may deny, that the child is playing a game.  But if you give me your reasons for saying so (“it involves using a ball with skill”, maybe), then</w:t>
      </w:r>
      <w:r w:rsidR="003E34CA">
        <w:t xml:space="preserve"> I can say that while I don’t agree, I can see your reasons for saying so, and as </w:t>
      </w:r>
      <w:r w:rsidR="00D51503">
        <w:t>long as there are no misunderstandings when we are speaking of games in other contexts</w:t>
      </w:r>
      <w:r w:rsidR="003E34CA">
        <w:t>, you can call it a game if you wish</w:t>
      </w:r>
      <w:r w:rsidR="00D51503">
        <w:t xml:space="preserve">.  </w:t>
      </w:r>
      <w:r w:rsidR="00B90669">
        <w:t xml:space="preserve">Or I may want to count a barstool as a chair because a person can sit on it, whereas you think it must be the sort of thing a person can sit </w:t>
      </w:r>
      <w:r w:rsidR="00B90669" w:rsidRPr="00B90669">
        <w:rPr>
          <w:u w:val="single"/>
        </w:rPr>
        <w:t>in</w:t>
      </w:r>
      <w:r w:rsidR="00B90669">
        <w:t xml:space="preserve">. But, again, it is as we wish, so long as we know what the other means.  </w:t>
      </w:r>
      <w:r w:rsidR="00D51503">
        <w:t>W</w:t>
      </w:r>
      <w:r w:rsidR="00BD3751">
        <w:t xml:space="preserve">hen nothing of importance hangs on whether the particular before us is an example of an </w:t>
      </w:r>
      <w:r w:rsidR="00BD3751" w:rsidRPr="00EF5E7E">
        <w:rPr>
          <w:i/>
        </w:rPr>
        <w:t>x</w:t>
      </w:r>
      <w:r w:rsidR="00BD3751">
        <w:t xml:space="preserve">, the standard of reasonableness in calling it an </w:t>
      </w:r>
      <w:r w:rsidR="00BD3751" w:rsidRPr="00EF5E7E">
        <w:rPr>
          <w:i/>
        </w:rPr>
        <w:t>x</w:t>
      </w:r>
      <w:r w:rsidR="00BD3751">
        <w:t xml:space="preserve"> is correspondingly weak.  </w:t>
      </w:r>
      <w:r w:rsidR="00286ACE">
        <w:tab/>
      </w:r>
    </w:p>
    <w:p w:rsidR="004D3EB1" w:rsidRDefault="002A757E" w:rsidP="002A757E">
      <w:pPr>
        <w:pStyle w:val="NoSpacing"/>
        <w:spacing w:line="480" w:lineRule="auto"/>
        <w:ind w:firstLine="720"/>
      </w:pPr>
      <w:r>
        <w:t xml:space="preserve">But </w:t>
      </w:r>
      <w:r w:rsidR="00927B48">
        <w:t xml:space="preserve">what about cases where something important </w:t>
      </w:r>
      <w:r w:rsidR="00927B48" w:rsidRPr="00927B48">
        <w:rPr>
          <w:u w:val="single"/>
        </w:rPr>
        <w:t>is</w:t>
      </w:r>
      <w:r w:rsidR="00927B48">
        <w:t xml:space="preserve"> at stake?  </w:t>
      </w:r>
      <w:r w:rsidR="006A5B93">
        <w:t xml:space="preserve">Plato, the arch-realist, was concerned not with terms like </w:t>
      </w:r>
      <w:r w:rsidR="00B90669">
        <w:t>“game”, or “chair”</w:t>
      </w:r>
      <w:r w:rsidR="006A5B93">
        <w:t xml:space="preserve">, but with </w:t>
      </w:r>
      <w:r w:rsidR="00B90669" w:rsidRPr="00B90669">
        <w:rPr>
          <w:i/>
        </w:rPr>
        <w:t>consistently</w:t>
      </w:r>
      <w:r w:rsidR="00B90669">
        <w:t xml:space="preserve"> </w:t>
      </w:r>
      <w:r w:rsidR="006A5B93" w:rsidRPr="006A5B93">
        <w:rPr>
          <w:i/>
        </w:rPr>
        <w:t>contested</w:t>
      </w:r>
      <w:r w:rsidR="006A5B93">
        <w:t xml:space="preserve"> terms that had important political and social implications, terms such</w:t>
      </w:r>
      <w:r w:rsidR="00D00C5E">
        <w:t xml:space="preserve"> as “virtue”, “justice”, </w:t>
      </w:r>
      <w:r w:rsidR="00637B0E">
        <w:t xml:space="preserve">“art”, </w:t>
      </w:r>
      <w:r w:rsidR="00D00C5E">
        <w:t>or “science”</w:t>
      </w:r>
      <w:r w:rsidR="006A5B93">
        <w:t xml:space="preserve">.  </w:t>
      </w:r>
      <w:r w:rsidR="00927B48">
        <w:t xml:space="preserve">These are cases in which it </w:t>
      </w:r>
      <w:r w:rsidR="00E339D3">
        <w:t xml:space="preserve">is wrong to say, as Wittgenstein says of “game”, that our inability to draw a boundary never troubled us before when we used the term (PI 68).  These terms </w:t>
      </w:r>
      <w:r w:rsidR="00E339D3" w:rsidRPr="00E339D3">
        <w:rPr>
          <w:u w:val="single"/>
        </w:rPr>
        <w:t>do</w:t>
      </w:r>
      <w:r w:rsidR="00E339D3">
        <w:t xml:space="preserve"> in fact </w:t>
      </w:r>
      <w:r w:rsidR="00E339D3">
        <w:lastRenderedPageBreak/>
        <w:t>trouble us; they are often the basis of deep a</w:t>
      </w:r>
      <w:r w:rsidR="00B90669">
        <w:t>nd sometimes even violent disagreement</w:t>
      </w:r>
      <w:r w:rsidR="00E339D3">
        <w:t xml:space="preserve">.  So, yes, if the realist’s only motivation for wanting a strict criterion is a theory of meaning in which we do not speak meaningfully unless our words are supported by definitions, then Wittgenstein’s response seems persuasive.  But that is not the realist’s only, or </w:t>
      </w:r>
      <w:r w:rsidR="00C461EA">
        <w:t xml:space="preserve">perhaps </w:t>
      </w:r>
      <w:r w:rsidR="00E339D3">
        <w:t xml:space="preserve">even main, motivation for wanting a strict criterion.  The need for the criterion in </w:t>
      </w:r>
      <w:r w:rsidR="00E339D3" w:rsidRPr="00C461EA">
        <w:rPr>
          <w:u w:val="single"/>
        </w:rPr>
        <w:t>these</w:t>
      </w:r>
      <w:r w:rsidR="00E339D3">
        <w:t xml:space="preserve"> cases arises from the need to be able to settle </w:t>
      </w:r>
      <w:r w:rsidR="00C461EA">
        <w:t xml:space="preserve">important </w:t>
      </w:r>
      <w:r w:rsidR="00E339D3">
        <w:t xml:space="preserve">disputed cases.  </w:t>
      </w:r>
      <w:r w:rsidR="007466A5">
        <w:t>(</w:t>
      </w:r>
      <w:r w:rsidR="0032629C">
        <w:t xml:space="preserve">It is still true that we do not need a criterion for every possible case; but we do, it might be argued, need a criterion to sort through the contested cases with which we are constantly </w:t>
      </w:r>
      <w:proofErr w:type="gramStart"/>
      <w:r w:rsidR="0032629C">
        <w:t>face</w:t>
      </w:r>
      <w:proofErr w:type="gramEnd"/>
      <w:r w:rsidR="007466A5">
        <w:t>)</w:t>
      </w:r>
      <w:r w:rsidR="0032629C">
        <w:t xml:space="preserve">.  </w:t>
      </w:r>
      <w:r w:rsidR="007E7E43">
        <w:t>Nor will it help to say, as Wittgenstein does at PI 68, that we can</w:t>
      </w:r>
      <w:r w:rsidR="00C461EA">
        <w:t xml:space="preserve"> </w:t>
      </w:r>
      <w:r w:rsidR="007E7E43">
        <w:t>draw a boundary if we choose, but tha</w:t>
      </w:r>
      <w:r w:rsidR="00B90669">
        <w:t>t this boundary is only useful for particular purposes, and needn’t be drawn at all</w:t>
      </w:r>
      <w:r w:rsidR="007E7E43">
        <w:t>.  For the person who is</w:t>
      </w:r>
      <w:r w:rsidR="00C461EA">
        <w:t xml:space="preserve"> concerned about </w:t>
      </w:r>
      <w:r w:rsidR="007E7E43">
        <w:t xml:space="preserve">whether capital punishment for child rapists is just will not want an arbitrary definition of justice, or one that simply fits the particular case (whatever that may mean).  </w:t>
      </w:r>
      <w:r w:rsidR="005B22AF">
        <w:t>It seems</w:t>
      </w:r>
      <w:r w:rsidR="0032629C">
        <w:t xml:space="preserve">, then, </w:t>
      </w:r>
      <w:r w:rsidR="005B22AF">
        <w:t>that Wi</w:t>
      </w:r>
      <w:r w:rsidR="00B90669">
        <w:t xml:space="preserve">ttgenstein has not shown that the realist has </w:t>
      </w:r>
      <w:r w:rsidR="005B22AF">
        <w:t>no good reason for wanting a definition.  What he need</w:t>
      </w:r>
      <w:r w:rsidR="00B90669">
        <w:t xml:space="preserve">s to show, I think, is that that </w:t>
      </w:r>
      <w:r w:rsidR="005B22AF">
        <w:t xml:space="preserve">need is an empty one because it </w:t>
      </w:r>
      <w:r w:rsidR="005B22AF" w:rsidRPr="00186443">
        <w:rPr>
          <w:u w:val="single"/>
        </w:rPr>
        <w:t>cannot</w:t>
      </w:r>
      <w:r w:rsidR="00B90669">
        <w:t xml:space="preserve">, as a matter of necessity, </w:t>
      </w:r>
      <w:r w:rsidR="005B22AF">
        <w:t xml:space="preserve">be met.  </w:t>
      </w:r>
    </w:p>
    <w:p w:rsidR="00B90669" w:rsidRDefault="004D3EB1" w:rsidP="007466A5">
      <w:pPr>
        <w:pStyle w:val="NoSpacing"/>
        <w:spacing w:line="480" w:lineRule="auto"/>
        <w:ind w:firstLine="720"/>
      </w:pPr>
      <w:r>
        <w:t xml:space="preserve">If Wittgenstein is right about meaning-as-use, then he already has an argument against the </w:t>
      </w:r>
      <w:r w:rsidRPr="005B22AF">
        <w:rPr>
          <w:u w:val="single"/>
        </w:rPr>
        <w:t>possibility</w:t>
      </w:r>
      <w:r>
        <w:t xml:space="preserve"> of a definition at his disposal.  Once we agree that the meaning of a term or phrase is its use in human practices, we are</w:t>
      </w:r>
      <w:r w:rsidR="00795125">
        <w:t xml:space="preserve"> </w:t>
      </w:r>
      <w:r>
        <w:t xml:space="preserve">committed to saying that there can be no </w:t>
      </w:r>
      <w:r w:rsidRPr="004D3EB1">
        <w:rPr>
          <w:i/>
        </w:rPr>
        <w:t xml:space="preserve">a priori </w:t>
      </w:r>
      <w:r>
        <w:t>limit on how the term will be used.  Human life is organic; language games grow and change, come and go.  There are always new possibilities and the closing off of previous possibilities.  Thus we cannot say, once and for all, what, for instance, is a “game”</w:t>
      </w:r>
      <w:r w:rsidR="006A5B93">
        <w:t>, because we</w:t>
      </w:r>
      <w:r>
        <w:t xml:space="preserve"> do not know what will constitute sufficient resemblance to other games in the future, or how the context in which games </w:t>
      </w:r>
      <w:r>
        <w:lastRenderedPageBreak/>
        <w:t xml:space="preserve">are played will change.  </w:t>
      </w:r>
      <w:r w:rsidR="006A5B93">
        <w:t>(For evidence of this</w:t>
      </w:r>
      <w:r>
        <w:t xml:space="preserve">, consider the fact that there is at this moment a serious debate about whether chess constitutes a </w:t>
      </w:r>
      <w:r w:rsidRPr="004D3EB1">
        <w:rPr>
          <w:i/>
        </w:rPr>
        <w:t>sport</w:t>
      </w:r>
      <w:r w:rsidR="006A5B93">
        <w:rPr>
          <w:i/>
        </w:rPr>
        <w:t>)</w:t>
      </w:r>
      <w:r>
        <w:t xml:space="preserve">.  </w:t>
      </w:r>
      <w:r w:rsidR="00D00C5E">
        <w:rPr>
          <w:rStyle w:val="FootnoteReference"/>
          <w:rFonts w:cstheme="minorBidi"/>
        </w:rPr>
        <w:footnoteReference w:id="2"/>
      </w:r>
    </w:p>
    <w:p w:rsidR="00062E39" w:rsidRDefault="007E7E43" w:rsidP="00582195">
      <w:pPr>
        <w:pStyle w:val="NoSpacing"/>
        <w:spacing w:line="480" w:lineRule="auto"/>
        <w:ind w:firstLine="720"/>
      </w:pPr>
      <w:r>
        <w:t>But w</w:t>
      </w:r>
      <w:r w:rsidR="00FB5D1C">
        <w:t xml:space="preserve">hat of resemblance itself, though?  What justifies us in claiming that two things </w:t>
      </w:r>
      <w:r w:rsidR="0024263D" w:rsidRPr="000878A8">
        <w:rPr>
          <w:u w:val="single"/>
        </w:rPr>
        <w:t>resemble</w:t>
      </w:r>
      <w:r w:rsidR="0024263D">
        <w:t xml:space="preserve"> </w:t>
      </w:r>
      <w:r w:rsidR="00FB5D1C">
        <w:t>one another?</w:t>
      </w:r>
      <w:r w:rsidR="0024263D">
        <w:t xml:space="preserve"> </w:t>
      </w:r>
      <w:r w:rsidR="008A079C">
        <w:t xml:space="preserve">How do we know how many properties two things must have in common in order for them to sufficiently resemble one another?  How do we know which are the relevant points of comparison?  </w:t>
      </w:r>
      <w:r w:rsidR="00FB5D1C">
        <w:t>It is obvious that Wittgenstein would reject a realist account of resemb</w:t>
      </w:r>
      <w:r w:rsidR="0024263D">
        <w:t>lance.  Presumably Wittgenstein will want to say that all cases of resemblance are so in virtue of their resembling paradigmatic cases of resemblance</w:t>
      </w:r>
      <w:r w:rsidR="0002262A">
        <w:t xml:space="preserve">.  </w:t>
      </w:r>
      <w:r w:rsidR="00B379C3">
        <w:t xml:space="preserve">Will we say, in teaching resemblance, “…this and other similar relationships we call ‘resemblance” (PI 61)?  It is obvious that this method of teaching presupposes that the learner </w:t>
      </w:r>
      <w:r w:rsidR="000878A8">
        <w:t xml:space="preserve">already </w:t>
      </w:r>
      <w:r w:rsidR="00B379C3">
        <w:t xml:space="preserve">knows what resemblance is.  </w:t>
      </w:r>
      <w:r w:rsidR="00062E39">
        <w:t>So how do we learn resemblance itself?</w:t>
      </w:r>
      <w:r w:rsidR="008A079C">
        <w:t xml:space="preserve">  And what makes us correct in saying that two things sufficiently resemble one another such that they can be categorized the same?</w:t>
      </w:r>
    </w:p>
    <w:p w:rsidR="00FB5D1C" w:rsidRDefault="00062E39" w:rsidP="00582195">
      <w:pPr>
        <w:pStyle w:val="NoSpacing"/>
        <w:spacing w:line="480" w:lineRule="auto"/>
        <w:ind w:firstLine="720"/>
      </w:pPr>
      <w:r>
        <w:t>The question presupposes that the child first learns what resemblance is, and then applies this knowledge to the learning of other concepts.  How else could it be</w:t>
      </w:r>
      <w:proofErr w:type="gramStart"/>
      <w:r>
        <w:t>?,</w:t>
      </w:r>
      <w:proofErr w:type="gramEnd"/>
      <w:r>
        <w:t xml:space="preserve"> we are tempted to ask.  </w:t>
      </w:r>
      <w:r w:rsidR="00B379C3">
        <w:t xml:space="preserve">And this, in a way, is Wittgenstein’s point as </w:t>
      </w:r>
      <w:proofErr w:type="spellStart"/>
      <w:r w:rsidR="00B379C3">
        <w:t>Bambrough</w:t>
      </w:r>
      <w:proofErr w:type="spellEnd"/>
      <w:r w:rsidR="00B379C3">
        <w:t xml:space="preserve"> interprets him:  we do not determine that all chairs are chairs by resemblance; rather, we learn what resemblance is when we learn concepts such as “chair”.  </w:t>
      </w:r>
      <w:r w:rsidR="000B1973">
        <w:t xml:space="preserve">As our elders point out to us </w:t>
      </w:r>
      <w:r w:rsidR="000B1973" w:rsidRPr="000B1973">
        <w:rPr>
          <w:u w:val="single"/>
        </w:rPr>
        <w:t>chairs</w:t>
      </w:r>
      <w:r w:rsidR="000B1973">
        <w:t xml:space="preserve">, we learn to </w:t>
      </w:r>
      <w:r w:rsidR="000B1973" w:rsidRPr="00062E39">
        <w:rPr>
          <w:u w:val="single"/>
        </w:rPr>
        <w:t>judge</w:t>
      </w:r>
      <w:r w:rsidR="000B1973">
        <w:t xml:space="preserve"> when we are in the presence of chairs.  </w:t>
      </w:r>
      <w:r w:rsidR="008A079C">
        <w:t xml:space="preserve">The resemblance account of universals is not an account of how we learn what chairs (for instance) are; it is simply a way of pointing to the fact that we learn what chairs </w:t>
      </w:r>
      <w:r w:rsidR="008A079C">
        <w:lastRenderedPageBreak/>
        <w:t xml:space="preserve">are by being trained simply to recognize chairs.  </w:t>
      </w:r>
      <w:r w:rsidR="0051448C">
        <w:t xml:space="preserve">It is not that we first learn resemblance and then apply it to other concepts; we learn resemblance when we learn those other concepts.  </w:t>
      </w:r>
      <w:r w:rsidR="008A079C">
        <w:t>This may sound absurd, but I do not think that it is. Consider a person learning to drive a car.  At some point, one has to be able to judge when it is safe to cross a highway, or to merge into traffic.  And in learning this, we learn to judge the speed of the other cars, the space between the cars, etc., so that at some point we can determine when it is saf</w:t>
      </w:r>
      <w:r w:rsidR="00BA5D8C">
        <w:t xml:space="preserve">e to proceed.  But </w:t>
      </w:r>
      <w:r w:rsidR="008A079C">
        <w:t xml:space="preserve">we do not find ourselves applying a standard of resemblance between cases.  Rather, we simply use the </w:t>
      </w:r>
      <w:r w:rsidR="008A079C" w:rsidRPr="0051448C">
        <w:rPr>
          <w:u w:val="single"/>
        </w:rPr>
        <w:t>judgment</w:t>
      </w:r>
      <w:r w:rsidR="008A079C">
        <w:t xml:space="preserve"> that we have honed by practicing at driving.  </w:t>
      </w:r>
      <w:r w:rsidR="00BA5D8C">
        <w:t xml:space="preserve">I do not infer that it is safe to cross; I see that it is safe, just as I do not infer that the children tossing a ball are playing a game, I see that they are.  </w:t>
      </w:r>
      <w:r w:rsidR="00186443">
        <w:t xml:space="preserve">It is true, perhaps, that this particular case is significantly like other cases when we crossed traffic safely.  But that is not the basis on which we judge that it is now safe.  </w:t>
      </w:r>
    </w:p>
    <w:p w:rsidR="00186443" w:rsidRDefault="0051448C" w:rsidP="00582195">
      <w:pPr>
        <w:pStyle w:val="NoSpacing"/>
        <w:spacing w:line="480" w:lineRule="auto"/>
        <w:ind w:firstLine="720"/>
      </w:pPr>
      <w:r>
        <w:t xml:space="preserve">Still, though, </w:t>
      </w:r>
      <w:r w:rsidR="00186443">
        <w:t xml:space="preserve">the problem that I mentioned before, namely, the problem of </w:t>
      </w:r>
      <w:r w:rsidR="00186443" w:rsidRPr="00186443">
        <w:rPr>
          <w:u w:val="single"/>
        </w:rPr>
        <w:t>contested</w:t>
      </w:r>
      <w:r w:rsidR="00186443">
        <w:t xml:space="preserve"> cases</w:t>
      </w:r>
      <w:r>
        <w:t>, remains</w:t>
      </w:r>
      <w:r w:rsidR="00186443">
        <w:t xml:space="preserve">. </w:t>
      </w:r>
      <w:r w:rsidR="00F32EBD">
        <w:t xml:space="preserve">For it is precisely here that our judgment falters.  </w:t>
      </w:r>
      <w:r w:rsidR="00186443">
        <w:t xml:space="preserve">Consider, for instance the case of art.  A person might reasonably claim that </w:t>
      </w:r>
      <w:proofErr w:type="spellStart"/>
      <w:r w:rsidR="00186443">
        <w:t>Olafur</w:t>
      </w:r>
      <w:proofErr w:type="spellEnd"/>
      <w:r w:rsidR="00186443">
        <w:t xml:space="preserve"> </w:t>
      </w:r>
      <w:proofErr w:type="spellStart"/>
      <w:r w:rsidR="00186443">
        <w:t>Eliasson’s</w:t>
      </w:r>
      <w:proofErr w:type="spellEnd"/>
      <w:r w:rsidR="00186443">
        <w:t xml:space="preserve"> </w:t>
      </w:r>
      <w:r w:rsidR="00186443">
        <w:rPr>
          <w:i/>
        </w:rPr>
        <w:t xml:space="preserve">Your Mobile Expectations:  BMW H2R </w:t>
      </w:r>
      <w:r w:rsidR="00186443" w:rsidRPr="006142EF">
        <w:t>Project</w:t>
      </w:r>
      <w:r w:rsidR="00186443">
        <w:t xml:space="preserve">—which essentially consists of a stripped BMW frozen in 2 tons of ice – is not really art.  </w:t>
      </w:r>
      <w:r w:rsidR="00F32EBD">
        <w:t xml:space="preserve">I say that it is.  After all, it is being displayed in the San Francisco MOMA, the person who created it is a well known artist (though this begs the question), etc.  Here it will not do to say that the question of whether it is art is settled by asking whether it sufficiently resembles other cases of art because, as we have said, there is no objective </w:t>
      </w:r>
      <w:r w:rsidR="00F32EBD" w:rsidRPr="00F32EBD">
        <w:rPr>
          <w:u w:val="single"/>
        </w:rPr>
        <w:t>criterion</w:t>
      </w:r>
      <w:r w:rsidR="00F32EBD">
        <w:t xml:space="preserve"> for sufficient resemblance, and whether they sufficiently resemble one another depends, on the view we are considering, as much on whether they are artworks as vice versa.  Only the judgment of those who have experience in identifying artworks will resolve the issue.  And, obviously our judgment differs.  </w:t>
      </w:r>
    </w:p>
    <w:p w:rsidR="002E2BCE" w:rsidRPr="006A655B" w:rsidRDefault="00CB09F1" w:rsidP="00582195">
      <w:pPr>
        <w:pStyle w:val="NoSpacing"/>
        <w:spacing w:line="480" w:lineRule="auto"/>
        <w:ind w:firstLine="720"/>
      </w:pPr>
      <w:r>
        <w:lastRenderedPageBreak/>
        <w:t>So where does this leave us?</w:t>
      </w:r>
      <w:r w:rsidR="006B17E8">
        <w:t xml:space="preserve">  We have seen that there are good arguments against possibility of giving a criterion for distinguishing (for instance) art from non-art.  And we have seen that the resemblance account will not help us either. Perhaps we should return to Wittgenstein’s directive that we “look and see”.  When we do look and see how it actually works with regard to art, we see that all the terms of the language game of art (not to mention others) – shift and slide and are negotiated every day by art-historians, artists, critics, journalists, and other members of the </w:t>
      </w:r>
      <w:proofErr w:type="spellStart"/>
      <w:r w:rsidR="006B17E8">
        <w:t>artworld</w:t>
      </w:r>
      <w:proofErr w:type="spellEnd"/>
      <w:r w:rsidR="006B17E8">
        <w:t xml:space="preserve">, so that the concept of art </w:t>
      </w:r>
      <w:r w:rsidR="001E7C4E">
        <w:t xml:space="preserve">is always in the process of being decided.  </w:t>
      </w:r>
      <w:r w:rsidR="004E48B0">
        <w:t>And we see furthermore that this decision is not based on principle grounds – that would be a return to realism – but rather to contingent facts about the art-institution, for instance, who is in power and what are their moral and aesthetic commitments, how do they understand the history of art and i</w:t>
      </w:r>
      <w:r w:rsidR="00795125">
        <w:t xml:space="preserve">ts relation to current society, </w:t>
      </w:r>
      <w:r w:rsidR="004E48B0">
        <w:t xml:space="preserve">etc.  </w:t>
      </w:r>
      <w:r w:rsidR="001E7C4E">
        <w:t xml:space="preserve">But now, it looks as if the </w:t>
      </w:r>
      <w:proofErr w:type="spellStart"/>
      <w:r w:rsidR="001E7C4E">
        <w:t>nominalist</w:t>
      </w:r>
      <w:proofErr w:type="spellEnd"/>
      <w:r w:rsidR="001E7C4E">
        <w:t xml:space="preserve"> is right after all; for it looks as if what determines whether something sufficiently resembles</w:t>
      </w:r>
      <w:r w:rsidR="00A264B8">
        <w:t xml:space="preserve"> another to be considered art is, after all, a matter of our </w:t>
      </w:r>
      <w:r w:rsidR="00A264B8" w:rsidRPr="00A264B8">
        <w:rPr>
          <w:u w:val="single"/>
        </w:rPr>
        <w:t>deciding</w:t>
      </w:r>
      <w:r w:rsidR="00A264B8">
        <w:t xml:space="preserve"> that it does.  </w:t>
      </w:r>
      <w:r w:rsidR="00795125">
        <w:t xml:space="preserve">This is not, as in the case of chair or game, a matter of using our judgment, for, as I have said, here our judgment gives out.  Rather, if we do decide to count </w:t>
      </w:r>
      <w:proofErr w:type="spellStart"/>
      <w:r w:rsidR="00795125">
        <w:t>Olafson’s</w:t>
      </w:r>
      <w:proofErr w:type="spellEnd"/>
      <w:r w:rsidR="00795125">
        <w:t xml:space="preserve"> work as a work of art, it will not be for reasons that we can give to </w:t>
      </w:r>
      <w:r w:rsidR="00795125" w:rsidRPr="00795125">
        <w:rPr>
          <w:u w:val="single"/>
        </w:rPr>
        <w:t>justify</w:t>
      </w:r>
      <w:r w:rsidR="00795125">
        <w:t xml:space="preserve"> the choice.  </w:t>
      </w:r>
    </w:p>
    <w:sectPr w:rsidR="002E2BCE" w:rsidRPr="006A655B" w:rsidSect="007E7E43">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635" w:rsidRDefault="00CB6635" w:rsidP="00526874">
      <w:pPr>
        <w:spacing w:line="240" w:lineRule="auto"/>
      </w:pPr>
      <w:r>
        <w:separator/>
      </w:r>
    </w:p>
  </w:endnote>
  <w:endnote w:type="continuationSeparator" w:id="0">
    <w:p w:rsidR="00CB6635" w:rsidRDefault="00CB6635" w:rsidP="0052687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4CA" w:rsidRDefault="0058269E">
    <w:pPr>
      <w:pStyle w:val="Footer"/>
      <w:jc w:val="center"/>
    </w:pPr>
    <w:fldSimple w:instr=" PAGE   \* MERGEFORMAT ">
      <w:r w:rsidR="00D1650B">
        <w:rPr>
          <w:noProof/>
        </w:rPr>
        <w:t>1</w:t>
      </w:r>
    </w:fldSimple>
  </w:p>
  <w:p w:rsidR="003E34CA" w:rsidRDefault="003E34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635" w:rsidRDefault="00CB6635" w:rsidP="00526874">
      <w:pPr>
        <w:spacing w:line="240" w:lineRule="auto"/>
      </w:pPr>
      <w:r>
        <w:separator/>
      </w:r>
    </w:p>
  </w:footnote>
  <w:footnote w:type="continuationSeparator" w:id="0">
    <w:p w:rsidR="00CB6635" w:rsidRDefault="00CB6635" w:rsidP="00526874">
      <w:pPr>
        <w:spacing w:line="240" w:lineRule="auto"/>
      </w:pPr>
      <w:r>
        <w:continuationSeparator/>
      </w:r>
    </w:p>
  </w:footnote>
  <w:footnote w:id="1">
    <w:p w:rsidR="008E1240" w:rsidRDefault="003E34CA">
      <w:pPr>
        <w:pStyle w:val="FootnoteText"/>
      </w:pPr>
      <w:r>
        <w:rPr>
          <w:rStyle w:val="FootnoteReference"/>
          <w:rFonts w:cstheme="minorBidi"/>
        </w:rPr>
        <w:footnoteRef/>
      </w:r>
      <w:r>
        <w:t xml:space="preserve"> </w:t>
      </w:r>
      <w:proofErr w:type="spellStart"/>
      <w:r>
        <w:t>Renford</w:t>
      </w:r>
      <w:proofErr w:type="spellEnd"/>
      <w:r>
        <w:t xml:space="preserve"> </w:t>
      </w:r>
      <w:proofErr w:type="spellStart"/>
      <w:r>
        <w:t>Bambrough</w:t>
      </w:r>
      <w:proofErr w:type="spellEnd"/>
      <w:r>
        <w:t xml:space="preserve">, “Universals and Family Resemblances”, Proceedings of the Aristotelian Society, Vol. LXI (1960-61), pp. 207-222.  </w:t>
      </w:r>
    </w:p>
  </w:footnote>
  <w:footnote w:id="2">
    <w:p w:rsidR="00D00C5E" w:rsidRDefault="00D00C5E" w:rsidP="00D00C5E">
      <w:pPr>
        <w:pStyle w:val="NoSpacing"/>
        <w:ind w:firstLine="720"/>
      </w:pPr>
      <w:r>
        <w:rPr>
          <w:rStyle w:val="FootnoteReference"/>
          <w:rFonts w:cstheme="minorBidi"/>
        </w:rPr>
        <w:footnoteRef/>
      </w:r>
      <w:r>
        <w:t xml:space="preserve"> (Wittgenstein does not make this argument.  Instead, he returns to the idea that no sign (of which ostensive definition is an example) is self-interpreting.  Sometimes others interpret our speech in ways we expect them to; other times they do not.  This shows that the rule itself always stands in need of interpretation.  But then, won’t the rule for interpreting the rule itself stand in need of interpretation, and so on without end?  Our perceived need for a rule that works in every conceivable context cannot be satisfied, because the rule itself always needs interpretation.  But we know it is always possible to </w:t>
      </w:r>
      <w:r w:rsidRPr="006A655B">
        <w:rPr>
          <w:u w:val="single"/>
        </w:rPr>
        <w:t>misinterpret</w:t>
      </w:r>
      <w:r>
        <w:t xml:space="preserve">).  </w:t>
      </w:r>
    </w:p>
    <w:p w:rsidR="008E1240" w:rsidRDefault="008E1240" w:rsidP="00D00C5E">
      <w:pPr>
        <w:pStyle w:val="NoSpacing"/>
        <w:ind w:firstLine="72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84EB7"/>
    <w:multiLevelType w:val="hybridMultilevel"/>
    <w:tmpl w:val="41FCDE34"/>
    <w:lvl w:ilvl="0" w:tplc="F4E82242">
      <w:start w:val="1"/>
      <w:numFmt w:val="upperRoman"/>
      <w:lvlText w:val="%1."/>
      <w:lvlJc w:val="left"/>
      <w:pPr>
        <w:ind w:left="1080" w:hanging="72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79BD1A56"/>
    <w:multiLevelType w:val="hybridMultilevel"/>
    <w:tmpl w:val="925C5716"/>
    <w:lvl w:ilvl="0" w:tplc="193A3722">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028"/>
  <w:defaultTabStop w:val="720"/>
  <w:characterSpacingControl w:val="doNotCompress"/>
  <w:footnotePr>
    <w:footnote w:id="-1"/>
    <w:footnote w:id="0"/>
  </w:footnotePr>
  <w:endnotePr>
    <w:endnote w:id="-1"/>
    <w:endnote w:id="0"/>
  </w:endnotePr>
  <w:compat/>
  <w:rsids>
    <w:rsidRoot w:val="0036593F"/>
    <w:rsid w:val="0002262A"/>
    <w:rsid w:val="00026B51"/>
    <w:rsid w:val="00033FA8"/>
    <w:rsid w:val="00062E39"/>
    <w:rsid w:val="00066C69"/>
    <w:rsid w:val="000878A8"/>
    <w:rsid w:val="000B1973"/>
    <w:rsid w:val="000E2DB4"/>
    <w:rsid w:val="000F2E14"/>
    <w:rsid w:val="000F6C86"/>
    <w:rsid w:val="00147EB1"/>
    <w:rsid w:val="00186443"/>
    <w:rsid w:val="00197E31"/>
    <w:rsid w:val="001B182F"/>
    <w:rsid w:val="001E7C4E"/>
    <w:rsid w:val="00201044"/>
    <w:rsid w:val="002228E0"/>
    <w:rsid w:val="0024263D"/>
    <w:rsid w:val="00264327"/>
    <w:rsid w:val="00266E0A"/>
    <w:rsid w:val="0027073D"/>
    <w:rsid w:val="00286ACE"/>
    <w:rsid w:val="00293F7F"/>
    <w:rsid w:val="002978A0"/>
    <w:rsid w:val="002A757E"/>
    <w:rsid w:val="002D2DA5"/>
    <w:rsid w:val="002E2BCE"/>
    <w:rsid w:val="002F6244"/>
    <w:rsid w:val="0032629C"/>
    <w:rsid w:val="0036593F"/>
    <w:rsid w:val="00376F5C"/>
    <w:rsid w:val="00381BE3"/>
    <w:rsid w:val="00396B1F"/>
    <w:rsid w:val="003A172E"/>
    <w:rsid w:val="003E34CA"/>
    <w:rsid w:val="003F1EBC"/>
    <w:rsid w:val="0041581B"/>
    <w:rsid w:val="0043359C"/>
    <w:rsid w:val="004448E2"/>
    <w:rsid w:val="00467914"/>
    <w:rsid w:val="00484F52"/>
    <w:rsid w:val="004B2C54"/>
    <w:rsid w:val="004C636D"/>
    <w:rsid w:val="004D3EB1"/>
    <w:rsid w:val="004E48B0"/>
    <w:rsid w:val="0051448C"/>
    <w:rsid w:val="00526874"/>
    <w:rsid w:val="00535B5B"/>
    <w:rsid w:val="00555869"/>
    <w:rsid w:val="005639E0"/>
    <w:rsid w:val="00582195"/>
    <w:rsid w:val="0058269E"/>
    <w:rsid w:val="005A37FA"/>
    <w:rsid w:val="005A71B2"/>
    <w:rsid w:val="005B22AF"/>
    <w:rsid w:val="005B441B"/>
    <w:rsid w:val="005E72DA"/>
    <w:rsid w:val="005E7999"/>
    <w:rsid w:val="005F2DD3"/>
    <w:rsid w:val="006142EF"/>
    <w:rsid w:val="0062796D"/>
    <w:rsid w:val="006332E8"/>
    <w:rsid w:val="00637B0E"/>
    <w:rsid w:val="00642E12"/>
    <w:rsid w:val="0064461D"/>
    <w:rsid w:val="00696267"/>
    <w:rsid w:val="006A5081"/>
    <w:rsid w:val="006A5B93"/>
    <w:rsid w:val="006A655B"/>
    <w:rsid w:val="006B17E8"/>
    <w:rsid w:val="006C6DC0"/>
    <w:rsid w:val="006D012D"/>
    <w:rsid w:val="006E1B43"/>
    <w:rsid w:val="006E63DB"/>
    <w:rsid w:val="007139E9"/>
    <w:rsid w:val="00740073"/>
    <w:rsid w:val="007466A5"/>
    <w:rsid w:val="00757EC5"/>
    <w:rsid w:val="0076316C"/>
    <w:rsid w:val="00764836"/>
    <w:rsid w:val="00795125"/>
    <w:rsid w:val="007E2F81"/>
    <w:rsid w:val="007E7E43"/>
    <w:rsid w:val="0080186D"/>
    <w:rsid w:val="00831AAF"/>
    <w:rsid w:val="008366F2"/>
    <w:rsid w:val="008421C2"/>
    <w:rsid w:val="008656B4"/>
    <w:rsid w:val="0087498B"/>
    <w:rsid w:val="008A079C"/>
    <w:rsid w:val="008E1240"/>
    <w:rsid w:val="008F2F49"/>
    <w:rsid w:val="00915855"/>
    <w:rsid w:val="009211AB"/>
    <w:rsid w:val="00927B48"/>
    <w:rsid w:val="00936037"/>
    <w:rsid w:val="00941FAB"/>
    <w:rsid w:val="009B61B9"/>
    <w:rsid w:val="009B77B3"/>
    <w:rsid w:val="009D7A42"/>
    <w:rsid w:val="00A264B8"/>
    <w:rsid w:val="00AB6C68"/>
    <w:rsid w:val="00AC029D"/>
    <w:rsid w:val="00AD06E6"/>
    <w:rsid w:val="00B034BD"/>
    <w:rsid w:val="00B1636C"/>
    <w:rsid w:val="00B27E21"/>
    <w:rsid w:val="00B379C3"/>
    <w:rsid w:val="00B56E65"/>
    <w:rsid w:val="00B614AE"/>
    <w:rsid w:val="00B90669"/>
    <w:rsid w:val="00BA153A"/>
    <w:rsid w:val="00BA3F3A"/>
    <w:rsid w:val="00BA5D8C"/>
    <w:rsid w:val="00BC1A37"/>
    <w:rsid w:val="00BD3751"/>
    <w:rsid w:val="00BF3A5D"/>
    <w:rsid w:val="00BF7161"/>
    <w:rsid w:val="00C461EA"/>
    <w:rsid w:val="00C621C4"/>
    <w:rsid w:val="00C87362"/>
    <w:rsid w:val="00CA1101"/>
    <w:rsid w:val="00CB09F1"/>
    <w:rsid w:val="00CB6635"/>
    <w:rsid w:val="00CC1643"/>
    <w:rsid w:val="00CE05E0"/>
    <w:rsid w:val="00CE175D"/>
    <w:rsid w:val="00D00C5E"/>
    <w:rsid w:val="00D141A3"/>
    <w:rsid w:val="00D1650B"/>
    <w:rsid w:val="00D51503"/>
    <w:rsid w:val="00D74147"/>
    <w:rsid w:val="00D77C88"/>
    <w:rsid w:val="00D916F9"/>
    <w:rsid w:val="00DA5792"/>
    <w:rsid w:val="00DF0DAD"/>
    <w:rsid w:val="00E02843"/>
    <w:rsid w:val="00E339D3"/>
    <w:rsid w:val="00E80C67"/>
    <w:rsid w:val="00EF50A2"/>
    <w:rsid w:val="00EF5E7E"/>
    <w:rsid w:val="00F23A0A"/>
    <w:rsid w:val="00F32EBD"/>
    <w:rsid w:val="00FB5D1C"/>
    <w:rsid w:val="00FF31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en-US" w:eastAsia="en-US"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6A5"/>
    <w:rPr>
      <w:rFonts w:cstheme="minorBidi"/>
      <w:sz w:val="24"/>
    </w:rPr>
  </w:style>
  <w:style w:type="paragraph" w:styleId="Heading1">
    <w:name w:val="heading 1"/>
    <w:basedOn w:val="Normal"/>
    <w:next w:val="Normal"/>
    <w:link w:val="Heading1Char"/>
    <w:uiPriority w:val="9"/>
    <w:qFormat/>
    <w:rsid w:val="00376F5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76F5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76F5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76F5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376F5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locked/>
    <w:rsid w:val="00376F5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locked/>
    <w:rsid w:val="00376F5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locked/>
    <w:rsid w:val="00376F5C"/>
    <w:rPr>
      <w:rFonts w:asciiTheme="majorHAnsi" w:eastAsiaTheme="majorEastAsia" w:hAnsiTheme="majorHAnsi" w:cstheme="majorBidi"/>
      <w:b/>
      <w:bCs/>
      <w:i/>
      <w:iCs/>
      <w:color w:val="4F81BD" w:themeColor="accent1"/>
    </w:rPr>
  </w:style>
  <w:style w:type="paragraph" w:styleId="NoSpacing">
    <w:name w:val="No Spacing"/>
    <w:uiPriority w:val="1"/>
    <w:qFormat/>
    <w:rsid w:val="00066C69"/>
    <w:pPr>
      <w:spacing w:line="240" w:lineRule="auto"/>
    </w:pPr>
    <w:rPr>
      <w:rFonts w:cstheme="minorBidi"/>
      <w:sz w:val="24"/>
    </w:rPr>
  </w:style>
  <w:style w:type="paragraph" w:styleId="FootnoteText">
    <w:name w:val="footnote text"/>
    <w:basedOn w:val="Normal"/>
    <w:link w:val="FootnoteTextChar"/>
    <w:uiPriority w:val="99"/>
    <w:semiHidden/>
    <w:unhideWhenUsed/>
    <w:rsid w:val="00526874"/>
    <w:pPr>
      <w:spacing w:line="240" w:lineRule="auto"/>
      <w:jc w:val="left"/>
    </w:pPr>
    <w:rPr>
      <w:rFonts w:ascii="Times New Roman" w:eastAsiaTheme="minorEastAsia" w:hAnsi="Times New Roman"/>
      <w:sz w:val="20"/>
      <w:szCs w:val="20"/>
    </w:rPr>
  </w:style>
  <w:style w:type="character" w:customStyle="1" w:styleId="FootnoteTextChar">
    <w:name w:val="Footnote Text Char"/>
    <w:basedOn w:val="DefaultParagraphFont"/>
    <w:link w:val="FootnoteText"/>
    <w:uiPriority w:val="99"/>
    <w:semiHidden/>
    <w:locked/>
    <w:rsid w:val="00526874"/>
    <w:rPr>
      <w:rFonts w:ascii="Times New Roman" w:eastAsiaTheme="minorEastAsia" w:hAnsi="Times New Roman" w:cs="Times New Roman"/>
      <w:sz w:val="20"/>
      <w:szCs w:val="20"/>
    </w:rPr>
  </w:style>
  <w:style w:type="character" w:styleId="FootnoteReference">
    <w:name w:val="footnote reference"/>
    <w:basedOn w:val="DefaultParagraphFont"/>
    <w:uiPriority w:val="99"/>
    <w:semiHidden/>
    <w:unhideWhenUsed/>
    <w:rsid w:val="00526874"/>
    <w:rPr>
      <w:rFonts w:cs="Times New Roman"/>
      <w:vertAlign w:val="superscript"/>
    </w:rPr>
  </w:style>
  <w:style w:type="paragraph" w:styleId="Header">
    <w:name w:val="header"/>
    <w:basedOn w:val="Normal"/>
    <w:link w:val="HeaderChar"/>
    <w:uiPriority w:val="99"/>
    <w:semiHidden/>
    <w:unhideWhenUsed/>
    <w:rsid w:val="004D3EB1"/>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4D3EB1"/>
    <w:rPr>
      <w:rFonts w:cs="Times New Roman"/>
      <w:sz w:val="24"/>
    </w:rPr>
  </w:style>
  <w:style w:type="paragraph" w:styleId="Footer">
    <w:name w:val="footer"/>
    <w:basedOn w:val="Normal"/>
    <w:link w:val="FooterChar"/>
    <w:uiPriority w:val="99"/>
    <w:unhideWhenUsed/>
    <w:rsid w:val="004D3EB1"/>
    <w:pPr>
      <w:tabs>
        <w:tab w:val="center" w:pos="4680"/>
        <w:tab w:val="right" w:pos="9360"/>
      </w:tabs>
      <w:spacing w:line="240" w:lineRule="auto"/>
    </w:pPr>
  </w:style>
  <w:style w:type="character" w:customStyle="1" w:styleId="FooterChar">
    <w:name w:val="Footer Char"/>
    <w:basedOn w:val="DefaultParagraphFont"/>
    <w:link w:val="Footer"/>
    <w:uiPriority w:val="99"/>
    <w:locked/>
    <w:rsid w:val="004D3EB1"/>
    <w:rPr>
      <w:rFonts w:cs="Times New Roman"/>
      <w:sz w:val="24"/>
    </w:rPr>
  </w:style>
  <w:style w:type="character" w:styleId="Hyperlink">
    <w:name w:val="Hyperlink"/>
    <w:basedOn w:val="DefaultParagraphFont"/>
    <w:uiPriority w:val="99"/>
    <w:unhideWhenUsed/>
    <w:rsid w:val="00795125"/>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bs1@humboldt.ed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73FC5-AA14-49C9-A6FE-14E6E1F5F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2540</Words>
  <Characters>14481</Characters>
  <Application>Microsoft Office Word</Application>
  <DocSecurity>0</DocSecurity>
  <Lines>120</Lines>
  <Paragraphs>33</Paragraphs>
  <ScaleCrop>false</ScaleCrop>
  <Company>Hewlett-Packard</Company>
  <LinksUpToDate>false</LinksUpToDate>
  <CharactersWithSpaces>16988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dc:creator>
  <cp:lastModifiedBy>john weldon powell</cp:lastModifiedBy>
  <cp:revision>2</cp:revision>
  <cp:lastPrinted>2009-02-24T18:42:00Z</cp:lastPrinted>
  <dcterms:created xsi:type="dcterms:W3CDTF">2012-10-11T16:17:00Z</dcterms:created>
  <dcterms:modified xsi:type="dcterms:W3CDTF">2012-10-11T16:17:00Z</dcterms:modified>
</cp:coreProperties>
</file>